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8E79" w14:textId="74294033" w:rsidR="00420C54" w:rsidRPr="00E55F0E" w:rsidRDefault="00E55F0E" w:rsidP="00E55F0E">
      <w:pPr>
        <w:pStyle w:val="TechnicalBlock"/>
        <w:ind w:left="-1134" w:right="-1134"/>
      </w:pPr>
      <w:bookmarkStart w:id="0" w:name="DW_BM_COVERPAGE"/>
      <w:r>
        <w:pict w14:anchorId="453A9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9079/24.&#10;Subject Codes: SOC 296 EMPL 171 GENDER 74 MI 425 COMPET 444 DATAPROTECT 184 CODEC 1138 IA 105.&#10;Heading: NOTE.&#10;Originator: General Secretariat of the Council.&#10;Recipient: Delegations.&#10;Subject: Proposal for a DIRECTIVE OF THE EUROPEAN PARLIAMENT AND OF THE COUNCIL amending Directive 2009/38/EC as regards the establishment and functioning of European Works Councils and the effective enforcement of transnational information and consultation rights.&#10;Commission Document Number: Not Set.&#10;Preceeding Document Number: Not Set.&#10;Location: Brussels.&#10;Date: 24 April 2024.&#10;Interinstitutional Files: 2024/0006(COD).&#10;Institutional Framework: Council of the European Union.&#10;Language: EN.&#10;Distribution Code: LIMITE.&#10;GUID: 5516037007696935487_0" style="width:568.5pt;height:402pt">
            <v:imagedata r:id="rId8" o:title=""/>
          </v:shape>
        </w:pict>
      </w:r>
      <w:bookmarkEnd w:id="0"/>
    </w:p>
    <w:p w14:paraId="66AEED4D" w14:textId="47B313E2" w:rsidR="00420C54" w:rsidRPr="001274D2" w:rsidRDefault="004E3389" w:rsidP="00420C54">
      <w:r w:rsidRPr="001274D2">
        <w:t>Delegations will find in annex a Presidency compromise proposal related to the Directive in subject.</w:t>
      </w:r>
    </w:p>
    <w:p w14:paraId="595E45E5" w14:textId="32CF980B" w:rsidR="00E32B14" w:rsidRPr="001274D2" w:rsidRDefault="004E3389" w:rsidP="00E32B14">
      <w:r w:rsidRPr="001274D2">
        <w:t>Changes compared to the Commission pr</w:t>
      </w:r>
      <w:r w:rsidR="00A67061" w:rsidRPr="001274D2">
        <w:t>o</w:t>
      </w:r>
      <w:r w:rsidRPr="001274D2">
        <w:t>posal</w:t>
      </w:r>
      <w:r w:rsidRPr="001274D2">
        <w:rPr>
          <w:rStyle w:val="FootnoteReference"/>
        </w:rPr>
        <w:footnoteReference w:id="1"/>
      </w:r>
      <w:r w:rsidRPr="001274D2">
        <w:t xml:space="preserve"> are marked in </w:t>
      </w:r>
      <w:r w:rsidRPr="001274D2">
        <w:rPr>
          <w:b/>
          <w:bCs/>
        </w:rPr>
        <w:t>bold</w:t>
      </w:r>
      <w:r w:rsidRPr="001274D2">
        <w:t xml:space="preserve">, deletions by </w:t>
      </w:r>
      <w:r w:rsidRPr="001274D2">
        <w:rPr>
          <w:b/>
          <w:bCs/>
        </w:rPr>
        <w:t>[…]</w:t>
      </w:r>
      <w:r w:rsidR="00E32B14" w:rsidRPr="001274D2">
        <w:t xml:space="preserve">, changes compared to document 8320/24 are marked in </w:t>
      </w:r>
      <w:r w:rsidR="00E32B14" w:rsidRPr="001274D2">
        <w:rPr>
          <w:b/>
          <w:bCs/>
        </w:rPr>
        <w:t>bold underlined</w:t>
      </w:r>
      <w:r w:rsidR="00E32B14" w:rsidRPr="001274D2">
        <w:t xml:space="preserve">, deletions by </w:t>
      </w:r>
      <w:r w:rsidR="00E32B14" w:rsidRPr="001274D2">
        <w:rPr>
          <w:b/>
          <w:bCs/>
        </w:rPr>
        <w:t>[…]</w:t>
      </w:r>
      <w:r w:rsidRPr="001274D2">
        <w:t>.</w:t>
      </w:r>
    </w:p>
    <w:p w14:paraId="35546F40" w14:textId="5119DB65" w:rsidR="00E32B14" w:rsidRPr="001274D2" w:rsidRDefault="00E32B14" w:rsidP="00E32B14">
      <w:pPr>
        <w:rPr>
          <w:u w:val="single"/>
        </w:rPr>
      </w:pPr>
      <w:r w:rsidRPr="001274D2">
        <w:rPr>
          <w:u w:val="single"/>
        </w:rPr>
        <w:t>The following editorial comments are to be made:</w:t>
      </w:r>
    </w:p>
    <w:p w14:paraId="161C9C37" w14:textId="206AF664" w:rsidR="00D93E72" w:rsidRPr="001274D2" w:rsidRDefault="00E32B14" w:rsidP="00E55F0E">
      <w:r w:rsidRPr="001274D2">
        <w:t xml:space="preserve">The terminology concerning the use of “employee” or “worker” has been aligned. It is the former term which is used in this amending Directive. In addition, </w:t>
      </w:r>
      <w:r w:rsidR="00F15642" w:rsidRPr="001274D2">
        <w:t xml:space="preserve">as announced in the Working Party </w:t>
      </w:r>
      <w:r w:rsidRPr="001274D2">
        <w:t>text from Directive (EU) 2015/1794 has been restored in Article 10 (4).</w:t>
      </w:r>
    </w:p>
    <w:p w14:paraId="15FF46CB" w14:textId="77777777" w:rsidR="008E07D9" w:rsidRPr="001274D2" w:rsidRDefault="008E07D9" w:rsidP="008E07D9">
      <w:pPr>
        <w:pStyle w:val="FinalLine"/>
      </w:pPr>
    </w:p>
    <w:p w14:paraId="62A1A459" w14:textId="3A1A175E" w:rsidR="00D93E72" w:rsidRPr="001274D2" w:rsidRDefault="00D93E72" w:rsidP="008E07D9">
      <w:pPr>
        <w:sectPr w:rsidR="00D93E72" w:rsidRPr="001274D2" w:rsidSect="00E55F0E">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14:paraId="7934899D" w14:textId="77777777" w:rsidR="00D93E72" w:rsidRPr="001274D2" w:rsidRDefault="00D93E72" w:rsidP="00D93E72">
      <w:pPr>
        <w:pStyle w:val="Annex"/>
      </w:pPr>
      <w:r w:rsidRPr="001274D2">
        <w:lastRenderedPageBreak/>
        <w:t>ANNEX</w:t>
      </w:r>
    </w:p>
    <w:p w14:paraId="22B030EA" w14:textId="77777777" w:rsidR="00D93E72" w:rsidRPr="001274D2" w:rsidRDefault="00D93E72" w:rsidP="00D93E72">
      <w:pPr>
        <w:spacing w:before="0" w:after="0" w:line="240" w:lineRule="auto"/>
        <w:ind w:left="5103"/>
        <w:jc w:val="right"/>
      </w:pPr>
      <w:r w:rsidRPr="001274D2">
        <w:t>2024/0006 (COD)</w:t>
      </w:r>
    </w:p>
    <w:p w14:paraId="5C5155FA" w14:textId="77777777" w:rsidR="00D93E72" w:rsidRPr="001274D2" w:rsidRDefault="00D93E72" w:rsidP="00D93E72">
      <w:pPr>
        <w:spacing w:before="360" w:after="0" w:line="240" w:lineRule="auto"/>
        <w:jc w:val="center"/>
      </w:pPr>
      <w:r w:rsidRPr="001274D2">
        <w:t>Proposal for a</w:t>
      </w:r>
    </w:p>
    <w:p w14:paraId="375C30E9" w14:textId="77777777" w:rsidR="00D93E72" w:rsidRPr="001274D2" w:rsidRDefault="00D93E72" w:rsidP="00D93E72">
      <w:pPr>
        <w:spacing w:before="360" w:after="0" w:line="240" w:lineRule="auto"/>
        <w:jc w:val="center"/>
        <w:rPr>
          <w:bCs/>
        </w:rPr>
      </w:pPr>
      <w:r w:rsidRPr="001274D2">
        <w:rPr>
          <w:bCs/>
        </w:rPr>
        <w:t>DIRECTIVE OF THE EUROPEAN PARLIAMENT AND OF THE COUNCIL</w:t>
      </w:r>
    </w:p>
    <w:p w14:paraId="66CD335C" w14:textId="5A286EA6" w:rsidR="00D93E72" w:rsidRPr="001274D2" w:rsidRDefault="00D93E72" w:rsidP="000A11FB">
      <w:pPr>
        <w:spacing w:before="360" w:after="360"/>
        <w:jc w:val="center"/>
        <w:rPr>
          <w:bCs/>
        </w:rPr>
      </w:pPr>
      <w:r w:rsidRPr="001274D2">
        <w:rPr>
          <w:bCs/>
        </w:rPr>
        <w:t>amending Directive 2009/38/EC as regards the establishment</w:t>
      </w:r>
      <w:r w:rsidR="000A11FB">
        <w:rPr>
          <w:bCs/>
        </w:rPr>
        <w:br/>
      </w:r>
      <w:r w:rsidRPr="001274D2">
        <w:rPr>
          <w:bCs/>
        </w:rPr>
        <w:t xml:space="preserve"> and functioning of European Works Councils and the effective enforcement</w:t>
      </w:r>
      <w:r w:rsidR="000A11FB">
        <w:rPr>
          <w:bCs/>
        </w:rPr>
        <w:br/>
      </w:r>
      <w:r w:rsidRPr="001274D2">
        <w:rPr>
          <w:bCs/>
        </w:rPr>
        <w:t xml:space="preserve"> of transnational information and consultation rights</w:t>
      </w:r>
    </w:p>
    <w:p w14:paraId="69382CA8" w14:textId="77777777" w:rsidR="00D93E72" w:rsidRPr="001274D2" w:rsidRDefault="00D93E72" w:rsidP="00A67061">
      <w:pPr>
        <w:spacing w:before="360" w:after="240" w:line="240" w:lineRule="auto"/>
        <w:jc w:val="center"/>
      </w:pPr>
      <w:r w:rsidRPr="001274D2">
        <w:t>(Text with EEA relevance)</w:t>
      </w:r>
    </w:p>
    <w:p w14:paraId="2B1619E0" w14:textId="77777777" w:rsidR="00D93E72" w:rsidRPr="001274D2" w:rsidRDefault="00D93E72" w:rsidP="00D93E72">
      <w:pPr>
        <w:keepNext/>
        <w:spacing w:before="600" w:line="240" w:lineRule="auto"/>
        <w:jc w:val="both"/>
      </w:pPr>
      <w:r w:rsidRPr="001274D2">
        <w:t>THE EUROPEAN PARLIAMENT AND THE COUNCIL OF THE EUROPEAN UNION,</w:t>
      </w:r>
    </w:p>
    <w:p w14:paraId="09EB6EFC" w14:textId="77777777" w:rsidR="00D93E72" w:rsidRPr="001274D2" w:rsidRDefault="00D93E72" w:rsidP="007D5A79">
      <w:r w:rsidRPr="001274D2">
        <w:t>Having regard to the Treaty on the Functioning of the European Union, and in particular Article 153(2), point (b), in conjunction with Article 153(1), point (e) thereof,</w:t>
      </w:r>
    </w:p>
    <w:p w14:paraId="280D6D66" w14:textId="77777777" w:rsidR="00D93E72" w:rsidRPr="001274D2" w:rsidRDefault="00D93E72" w:rsidP="007D5A79">
      <w:r w:rsidRPr="001274D2">
        <w:t>Having regard to the proposal from the European Commission,</w:t>
      </w:r>
    </w:p>
    <w:p w14:paraId="262AB035" w14:textId="77777777" w:rsidR="00D93E72" w:rsidRPr="001274D2" w:rsidRDefault="00D93E72" w:rsidP="007D5A79">
      <w:r w:rsidRPr="001274D2">
        <w:t>After transmission of the draft legislative act to the national parliaments,</w:t>
      </w:r>
    </w:p>
    <w:p w14:paraId="4EB6A60A" w14:textId="77777777" w:rsidR="00D93E72" w:rsidRPr="001274D2" w:rsidRDefault="00D93E72" w:rsidP="007D5A79">
      <w:r w:rsidRPr="001274D2">
        <w:t>Having regard to the opinion of the European Economic and Social Committee</w:t>
      </w:r>
      <w:r w:rsidRPr="007D5A79">
        <w:rPr>
          <w:rStyle w:val="FootnoteReference"/>
        </w:rPr>
        <w:footnoteReference w:id="2"/>
      </w:r>
      <w:r w:rsidRPr="001274D2">
        <w:t xml:space="preserve">, </w:t>
      </w:r>
    </w:p>
    <w:p w14:paraId="500C9DBB" w14:textId="77777777" w:rsidR="00D93E72" w:rsidRPr="001274D2" w:rsidRDefault="00D93E72" w:rsidP="007D5A79">
      <w:r w:rsidRPr="001274D2">
        <w:t>Having regard to the opinion of the Committee of the Regions</w:t>
      </w:r>
      <w:r w:rsidRPr="007D5A79">
        <w:rPr>
          <w:rStyle w:val="FootnoteReference"/>
        </w:rPr>
        <w:footnoteReference w:id="3"/>
      </w:r>
      <w:r w:rsidRPr="001274D2">
        <w:t xml:space="preserve">, </w:t>
      </w:r>
    </w:p>
    <w:p w14:paraId="0F0BEF72" w14:textId="77777777" w:rsidR="00D93E72" w:rsidRPr="001274D2" w:rsidRDefault="00D93E72" w:rsidP="007D5A79">
      <w:r w:rsidRPr="001274D2">
        <w:t>Acting in accordance with the ordinary legislative procedure,</w:t>
      </w:r>
    </w:p>
    <w:p w14:paraId="167BC810" w14:textId="77777777" w:rsidR="000A11FB" w:rsidRDefault="000A11FB" w:rsidP="000A11FB">
      <w:pPr>
        <w:spacing w:line="240" w:lineRule="auto"/>
        <w:jc w:val="both"/>
      </w:pPr>
      <w:r>
        <w:br w:type="page"/>
      </w:r>
      <w:r w:rsidR="00D93E72" w:rsidRPr="001274D2">
        <w:lastRenderedPageBreak/>
        <w:t>Whereas:</w:t>
      </w:r>
    </w:p>
    <w:p w14:paraId="513D4E9A" w14:textId="0C64EA43" w:rsidR="00D93E72" w:rsidRPr="001274D2" w:rsidRDefault="00812A72" w:rsidP="000A11FB">
      <w:pPr>
        <w:pStyle w:val="PointManual"/>
      </w:pPr>
      <w:r w:rsidRPr="001274D2">
        <w:t>(1)</w:t>
      </w:r>
      <w:r w:rsidRPr="001274D2">
        <w:tab/>
      </w:r>
      <w:r w:rsidR="00D93E72" w:rsidRPr="001274D2">
        <w:t>Pursuant to Article 27 of the Charter of Fundamental Rights of the European Union, workers or their representatives are, at all appropriate levels, to be guaranteed information and consultation in good time and under the conditions provided for by Union law and national law and practices. Principle 8 of the European Pillar of Social Rights reaffirms the right of workers or their representatives to be informed and consulted on matters relevant to them.</w:t>
      </w:r>
    </w:p>
    <w:p w14:paraId="37FD5984" w14:textId="2B28EAF9" w:rsidR="00D93E72" w:rsidRPr="001274D2" w:rsidRDefault="00812A72" w:rsidP="00812A72">
      <w:pPr>
        <w:pStyle w:val="PointManual"/>
      </w:pPr>
      <w:r w:rsidRPr="001274D2">
        <w:t>(2)</w:t>
      </w:r>
      <w:r w:rsidRPr="001274D2">
        <w:tab/>
      </w:r>
      <w:r w:rsidR="00D93E72" w:rsidRPr="001274D2">
        <w:t>With respect to transnational matters, Directive 2009/38/EC of the European Parliament and of the Council</w:t>
      </w:r>
      <w:r w:rsidR="00D93E72" w:rsidRPr="007D5A79">
        <w:rPr>
          <w:rStyle w:val="FootnoteReference"/>
        </w:rPr>
        <w:footnoteReference w:id="4"/>
      </w:r>
      <w:r w:rsidR="00D93E72" w:rsidRPr="001274D2">
        <w:t xml:space="preserve"> seeks to give practical effect to these basic principles by setting minimum requirements for the information and consultation of employees in Community-scale undertakings and Community-scale groups of undertakings.</w:t>
      </w:r>
    </w:p>
    <w:p w14:paraId="0D5FE231" w14:textId="75A9F83D" w:rsidR="00D93E72" w:rsidRPr="001274D2" w:rsidRDefault="00812A72" w:rsidP="00812A72">
      <w:pPr>
        <w:pStyle w:val="PointManual"/>
      </w:pPr>
      <w:r w:rsidRPr="001274D2">
        <w:t>(3)</w:t>
      </w:r>
      <w:r w:rsidRPr="001274D2">
        <w:tab/>
      </w:r>
      <w:r w:rsidR="00D93E72" w:rsidRPr="001274D2">
        <w:t>While an evaluation of Directive 2009/38/EC published in 2018</w:t>
      </w:r>
      <w:r w:rsidR="00D93E72" w:rsidRPr="007D5A79">
        <w:rPr>
          <w:rStyle w:val="FootnoteReference"/>
        </w:rPr>
        <w:footnoteReference w:id="5"/>
      </w:r>
      <w:r w:rsidR="00D93E72" w:rsidRPr="001274D2">
        <w:t xml:space="preserve"> confirmed that Directive’s added value and relevance in principle, it also identified shortcomings regarding, for instance, the effectiveness of the consultation process, access to justice, sanctions, and the interpretation of certain concepts.</w:t>
      </w:r>
    </w:p>
    <w:p w14:paraId="32751EFC" w14:textId="422DE4A9" w:rsidR="00D93E72" w:rsidRPr="001274D2" w:rsidRDefault="00812A72" w:rsidP="00812A72">
      <w:pPr>
        <w:pStyle w:val="PointManual"/>
      </w:pPr>
      <w:r w:rsidRPr="001274D2">
        <w:t>(4)</w:t>
      </w:r>
      <w:r w:rsidRPr="001274D2">
        <w:tab/>
      </w:r>
      <w:r w:rsidR="00D93E72" w:rsidRPr="001274D2">
        <w:t>In 2023, the European Parliament, in accordance with Article 225 of the Treaty on the Functioning of the European Union (TFEU), adopted a legislative own-initiative resolution with recommendations on a revision of Directive 2009/38/EC</w:t>
      </w:r>
      <w:r w:rsidR="00D93E72" w:rsidRPr="007D5A79">
        <w:rPr>
          <w:rStyle w:val="FootnoteReference"/>
        </w:rPr>
        <w:footnoteReference w:id="6"/>
      </w:r>
      <w:r w:rsidR="00D93E72" w:rsidRPr="001274D2">
        <w:t xml:space="preserve"> and the Commission undertook a two-phase consultation with the social partners, in accordance with Article 154 of the Treaty on the Functioning of the European Union, on the need for and the content of measures to address the shortcomings of that directive. The Commission has also collected evidence through a study involving a targeted online survey, stakeholder interviews, workshops, analysis of national case-law and of relevant provisions in the national laws of Member States.</w:t>
      </w:r>
    </w:p>
    <w:p w14:paraId="52327154" w14:textId="381A2FAE" w:rsidR="00D93E72" w:rsidRPr="001274D2" w:rsidRDefault="00812A72" w:rsidP="00812A72">
      <w:pPr>
        <w:pStyle w:val="PointManual"/>
      </w:pPr>
      <w:bookmarkStart w:id="2" w:name="_Hlk161676529"/>
      <w:r w:rsidRPr="001274D2">
        <w:lastRenderedPageBreak/>
        <w:br w:type="page"/>
      </w:r>
      <w:r w:rsidRPr="001274D2">
        <w:lastRenderedPageBreak/>
        <w:t>(5)</w:t>
      </w:r>
      <w:r w:rsidRPr="001274D2">
        <w:tab/>
      </w:r>
      <w:r w:rsidR="00D93E72" w:rsidRPr="001274D2">
        <w:t xml:space="preserve">Evidence shows that legal uncertainty regarding the concept of transnational matters has led to differences in interpretation and disputes. In order to ensure legal certainty and reduce the risk of such disputes, it is necessary to clarify that concept. To this end, it is appropriate to clarify that this Directive should not only cover cases where measures considered by management </w:t>
      </w:r>
      <w:r w:rsidR="00706D9C" w:rsidRPr="001274D2">
        <w:rPr>
          <w:b/>
          <w:bCs/>
          <w:u w:val="single"/>
        </w:rPr>
        <w:t xml:space="preserve">of </w:t>
      </w:r>
      <w:r w:rsidR="00985FB4" w:rsidRPr="001274D2">
        <w:rPr>
          <w:b/>
          <w:bCs/>
          <w:u w:val="single"/>
        </w:rPr>
        <w:t xml:space="preserve">an undertaking </w:t>
      </w:r>
      <w:r w:rsidR="00D93E72" w:rsidRPr="001274D2">
        <w:t xml:space="preserve">can reasonably be expected </w:t>
      </w:r>
      <w:r w:rsidR="00D93E72" w:rsidRPr="001274D2">
        <w:rPr>
          <w:b/>
          <w:bCs/>
        </w:rPr>
        <w:t>[…]</w:t>
      </w:r>
      <w:r w:rsidR="00D93E72" w:rsidRPr="001274D2">
        <w:t xml:space="preserve"> to affect </w:t>
      </w:r>
      <w:r w:rsidR="002F56B4" w:rsidRPr="001274D2">
        <w:rPr>
          <w:b/>
          <w:bCs/>
          <w:u w:val="single"/>
        </w:rPr>
        <w:t>its</w:t>
      </w:r>
      <w:r w:rsidR="002F56B4" w:rsidRPr="001274D2">
        <w:t xml:space="preserve"> </w:t>
      </w:r>
      <w:r w:rsidR="00D93E72" w:rsidRPr="001274D2">
        <w:t xml:space="preserve">employees in more than one Member State, but also cases where such measures can reasonably be expected to affect </w:t>
      </w:r>
      <w:r w:rsidR="00E47D0A" w:rsidRPr="001274D2">
        <w:rPr>
          <w:b/>
          <w:bCs/>
          <w:u w:val="single"/>
        </w:rPr>
        <w:t xml:space="preserve">employees </w:t>
      </w:r>
      <w:r w:rsidR="00985FB4" w:rsidRPr="001274D2">
        <w:rPr>
          <w:b/>
          <w:bCs/>
          <w:u w:val="single"/>
        </w:rPr>
        <w:t>of that undertaking</w:t>
      </w:r>
      <w:r w:rsidR="00985FB4" w:rsidRPr="001274D2">
        <w:t xml:space="preserve"> </w:t>
      </w:r>
      <w:r w:rsidR="00D93E72" w:rsidRPr="001274D2">
        <w:t>in only one Member State, but the consequences of those measures can reasonably be expected to affect</w:t>
      </w:r>
      <w:r w:rsidR="00D9234A" w:rsidRPr="001274D2">
        <w:t xml:space="preserve"> </w:t>
      </w:r>
      <w:r w:rsidR="00D9234A" w:rsidRPr="001274D2">
        <w:rPr>
          <w:b/>
          <w:bCs/>
          <w:u w:val="single"/>
        </w:rPr>
        <w:t>its</w:t>
      </w:r>
      <w:r w:rsidR="00D93E72" w:rsidRPr="001274D2">
        <w:rPr>
          <w:b/>
          <w:bCs/>
          <w:u w:val="single"/>
        </w:rPr>
        <w:t xml:space="preserve"> </w:t>
      </w:r>
      <w:r w:rsidR="00E47D0A" w:rsidRPr="001274D2">
        <w:rPr>
          <w:b/>
          <w:bCs/>
          <w:u w:val="single"/>
        </w:rPr>
        <w:t>employees</w:t>
      </w:r>
      <w:r w:rsidR="00D93E72" w:rsidRPr="001274D2">
        <w:t xml:space="preserve"> in at least one other Member State. This is necessary to cover cases where undertakings envisage measures, such as lay-offs</w:t>
      </w:r>
      <w:r w:rsidR="00D93E72" w:rsidRPr="001274D2">
        <w:rPr>
          <w:b/>
          <w:bCs/>
        </w:rPr>
        <w:t>,</w:t>
      </w:r>
      <w:r w:rsidR="00D93E72" w:rsidRPr="001274D2">
        <w:t xml:space="preserve"> redundancies </w:t>
      </w:r>
      <w:r w:rsidR="00D93E72" w:rsidRPr="001274D2">
        <w:rPr>
          <w:b/>
          <w:bCs/>
        </w:rPr>
        <w:t>or allocation of production activities and outsourcing of activities</w:t>
      </w:r>
      <w:r w:rsidR="00D93E72" w:rsidRPr="001274D2">
        <w:t xml:space="preserve">, which do explicitly target establishments in only one Member State but nevertheless can reasonably be expected to have consequences affecting employees </w:t>
      </w:r>
      <w:r w:rsidR="00D9234A" w:rsidRPr="001274D2">
        <w:rPr>
          <w:b/>
          <w:u w:val="single"/>
        </w:rPr>
        <w:t>of that undertaking</w:t>
      </w:r>
      <w:r w:rsidR="00D9234A" w:rsidRPr="001274D2">
        <w:t xml:space="preserve"> </w:t>
      </w:r>
      <w:r w:rsidR="00D93E72" w:rsidRPr="001274D2">
        <w:t xml:space="preserve">in another Member State, for instance due to changes in the cross-border supply chain or production activities, where such measures could lead to substantial changes in work organisation or in contractual relations. </w:t>
      </w:r>
      <w:r w:rsidR="00DA7185" w:rsidRPr="001274D2">
        <w:rPr>
          <w:b/>
          <w:bCs/>
          <w:u w:val="single"/>
        </w:rPr>
        <w:t>[…]</w:t>
      </w:r>
      <w:r w:rsidR="00DA7185" w:rsidRPr="001274D2">
        <w:t xml:space="preserve"> </w:t>
      </w:r>
      <w:r w:rsidR="00D93E72" w:rsidRPr="001274D2">
        <w:rPr>
          <w:b/>
          <w:bCs/>
          <w:szCs w:val="24"/>
          <w:lang w:val="en-US"/>
        </w:rPr>
        <w:t>The standard of reasonableness should be objectively ascertained, having regard to the nature and purpose of the measures that are envisaged and the circumstances of the case.</w:t>
      </w:r>
    </w:p>
    <w:bookmarkEnd w:id="2"/>
    <w:p w14:paraId="74327DCD" w14:textId="456DD258" w:rsidR="00D93E72" w:rsidRPr="001274D2" w:rsidRDefault="00812A72" w:rsidP="00812A72">
      <w:pPr>
        <w:pStyle w:val="PointManual"/>
      </w:pPr>
      <w:r w:rsidRPr="001274D2">
        <w:t>(6)</w:t>
      </w:r>
      <w:r w:rsidRPr="001274D2">
        <w:tab/>
      </w:r>
      <w:r w:rsidR="00D93E72" w:rsidRPr="001274D2">
        <w:t>The definitions of information and consultation in Directive 2009/38/EC include normative requirements. For the sake of coherence and legal clarity, it is appropriate to lay down those normative provisions in the articles laying down rights and obligations instead.</w:t>
      </w:r>
    </w:p>
    <w:p w14:paraId="50111CF4" w14:textId="1345DFC2" w:rsidR="00D93E72" w:rsidRPr="001274D2" w:rsidRDefault="00812A72" w:rsidP="00812A72">
      <w:pPr>
        <w:pStyle w:val="PointManual"/>
      </w:pPr>
      <w:r w:rsidRPr="001274D2">
        <w:br w:type="page"/>
      </w:r>
      <w:r w:rsidRPr="001274D2">
        <w:lastRenderedPageBreak/>
        <w:t>(7)</w:t>
      </w:r>
      <w:r w:rsidRPr="001274D2">
        <w:tab/>
      </w:r>
      <w:r w:rsidR="00D93E72" w:rsidRPr="001274D2">
        <w:t xml:space="preserve">Members of special negotiating bodies may need legal advice </w:t>
      </w:r>
      <w:r w:rsidR="00D93E72" w:rsidRPr="001274D2">
        <w:rPr>
          <w:b/>
          <w:bCs/>
        </w:rPr>
        <w:t>[…]</w:t>
      </w:r>
      <w:r w:rsidR="00D93E72" w:rsidRPr="001274D2">
        <w:t xml:space="preserve"> to carry out their tasks under Directive 2009/38/EC. It is however not sufficiently clear that they are entitled to the coverage of the associated legal fees. With a view to ensuring such coverage, it should be clarified that central management is to bear costs incurred by member of special negotiation bodies, which the latter should be required to notify in advance. It is appropriate to limit that obligation to reasonable legal costs to ensure that management is not liable for manifestly disproportionate costs, costs without justifiable link to the provision of relevant legal advice </w:t>
      </w:r>
      <w:r w:rsidR="00D93E72" w:rsidRPr="001274D2">
        <w:rPr>
          <w:b/>
          <w:bCs/>
        </w:rPr>
        <w:t>[…]</w:t>
      </w:r>
      <w:r w:rsidR="00D93E72" w:rsidRPr="001274D2">
        <w:t>, or costs created by manifestly unfounded, frivolous, or vexatious claims.</w:t>
      </w:r>
      <w:r w:rsidR="00D93E72" w:rsidRPr="001274D2" w:rsidDel="008E626A">
        <w:t xml:space="preserve"> </w:t>
      </w:r>
      <w:r w:rsidR="00D93E72" w:rsidRPr="001274D2">
        <w:t xml:space="preserve">Moreover, Directive 2009/38/EC gives Member States discretion to lay down budgetary rules regarding the operation of special negotiating body and European Works Councils based on subsidiary requirements, having regard to the principle that expenses relating to the appropriate conduct of the special negotiating board’s functions must be borne by the central management. Therefore, the provisions referring to the number of experts to be funded by central management are redundant and should be deleted. </w:t>
      </w:r>
      <w:r w:rsidR="00D93E72" w:rsidRPr="001274D2">
        <w:rPr>
          <w:b/>
          <w:bCs/>
        </w:rPr>
        <w:t>Where the precise amount of the expenses is not known in advance an estimate of the costs including information about the nature of the cost should be notified to central management.</w:t>
      </w:r>
    </w:p>
    <w:p w14:paraId="3B90A3AB" w14:textId="2BE72F42" w:rsidR="00D93E72" w:rsidRPr="001274D2" w:rsidRDefault="00812A72" w:rsidP="00812A72">
      <w:pPr>
        <w:pStyle w:val="PointManual"/>
      </w:pPr>
      <w:r w:rsidRPr="001274D2">
        <w:t>(8)</w:t>
      </w:r>
      <w:r w:rsidRPr="001274D2">
        <w:tab/>
      </w:r>
      <w:r w:rsidR="00D93E72" w:rsidRPr="001274D2">
        <w:t>Directive 2009/38/EC requires the parties to a European Works Council agreement to determine the venue of meetings of the European Works Council. It is appropriate to specify that they are to determine also the format of such meetings</w:t>
      </w:r>
      <w:r w:rsidR="00D93E72" w:rsidRPr="001274D2">
        <w:rPr>
          <w:b/>
          <w:bCs/>
        </w:rPr>
        <w:t>, be it in-person, online or hybrid</w:t>
      </w:r>
      <w:r w:rsidR="00D93E72" w:rsidRPr="001274D2">
        <w:t>, notably to avoid any doubt about their freedom to agree that some or all of the meetings be held in a virtual environment, using online meeting tools, reducing the</w:t>
      </w:r>
      <w:r w:rsidR="00D93E72" w:rsidRPr="001274D2">
        <w:rPr>
          <w:i/>
          <w:iCs/>
        </w:rPr>
        <w:t xml:space="preserve"> </w:t>
      </w:r>
      <w:r w:rsidR="00D93E72" w:rsidRPr="001274D2">
        <w:t>environmental footprint of meetings in line with Union</w:t>
      </w:r>
      <w:r w:rsidR="00D93E72" w:rsidRPr="001274D2">
        <w:rPr>
          <w:i/>
          <w:iCs/>
        </w:rPr>
        <w:t xml:space="preserve">, </w:t>
      </w:r>
      <w:r w:rsidR="00D93E72" w:rsidRPr="001274D2">
        <w:t xml:space="preserve">national and companies’ emission reduction targets, while ensuring meaningful </w:t>
      </w:r>
      <w:r w:rsidR="00D93E72" w:rsidRPr="001274D2">
        <w:rPr>
          <w:b/>
          <w:bCs/>
        </w:rPr>
        <w:t>and efficient sharing of</w:t>
      </w:r>
      <w:r w:rsidR="00D93E72" w:rsidRPr="001274D2">
        <w:t xml:space="preserve"> information and consultation at lower environmental and financial costs </w:t>
      </w:r>
      <w:r w:rsidR="00D93E72" w:rsidRPr="001274D2">
        <w:rPr>
          <w:b/>
          <w:bCs/>
          <w:sz w:val="23"/>
          <w:szCs w:val="23"/>
        </w:rPr>
        <w:t>on the one hand, and the possibility to hold physical meetings which can offer a trustworthy and confidential environment for meetings and gives the opportunity for exchanges in person.</w:t>
      </w:r>
    </w:p>
    <w:p w14:paraId="56A14F34" w14:textId="5F0CB16B" w:rsidR="00D93E72" w:rsidRPr="001274D2" w:rsidRDefault="00812A72" w:rsidP="00812A72">
      <w:pPr>
        <w:pStyle w:val="PointManual"/>
      </w:pPr>
      <w:r w:rsidRPr="001274D2">
        <w:br w:type="page"/>
        <w:t>(9)</w:t>
      </w:r>
      <w:r w:rsidRPr="001274D2">
        <w:tab/>
      </w:r>
      <w:r w:rsidR="00D93E72" w:rsidRPr="001274D2">
        <w:t xml:space="preserve">There can be uncertainty and disputes with respect to the coverage of certain expenses and access to certain resources also during the operation of European Works Councils. In accordance with the principle of autonomy of the parties, it is appropriate to require that certain types of financial and material resources be determined specifically in the European Works Council agreements, namely the possible </w:t>
      </w:r>
      <w:r w:rsidR="002F56B4" w:rsidRPr="001274D2">
        <w:rPr>
          <w:b/>
          <w:bCs/>
          <w:u w:val="single"/>
        </w:rPr>
        <w:t>assistance</w:t>
      </w:r>
      <w:r w:rsidR="002F56B4" w:rsidRPr="001274D2">
        <w:t xml:space="preserve"> </w:t>
      </w:r>
      <w:r w:rsidR="00D93E72" w:rsidRPr="001274D2">
        <w:t>of experts – such as technical subject-matter experts or legal experts –</w:t>
      </w:r>
      <w:r w:rsidR="00105936" w:rsidRPr="001274D2">
        <w:t xml:space="preserve"> </w:t>
      </w:r>
      <w:r w:rsidR="00706D9C" w:rsidRPr="001274D2">
        <w:rPr>
          <w:b/>
          <w:bCs/>
          <w:u w:val="single"/>
        </w:rPr>
        <w:t>[…]</w:t>
      </w:r>
      <w:r w:rsidR="00105936" w:rsidRPr="001274D2">
        <w:rPr>
          <w:b/>
          <w:bCs/>
          <w:u w:val="single"/>
        </w:rPr>
        <w:t xml:space="preserve"> </w:t>
      </w:r>
      <w:r w:rsidR="00D93E72" w:rsidRPr="001274D2">
        <w:t>and the coverage of experts’ fees</w:t>
      </w:r>
      <w:r w:rsidR="00105936" w:rsidRPr="001274D2">
        <w:t xml:space="preserve"> </w:t>
      </w:r>
      <w:r w:rsidR="00706D9C" w:rsidRPr="001274D2">
        <w:rPr>
          <w:b/>
          <w:bCs/>
          <w:u w:val="single"/>
        </w:rPr>
        <w:t>[…]</w:t>
      </w:r>
      <w:r w:rsidR="00D93E72" w:rsidRPr="001274D2">
        <w:t>. The agreements should also address the provision of relevant training to the members of the European Works Council, and the coverage of related expenses, without prejudice to the minimum requirement in Article 10(4) of Directive 2009/38/EC.</w:t>
      </w:r>
    </w:p>
    <w:p w14:paraId="056867B1" w14:textId="21FB2E41" w:rsidR="00D93E72" w:rsidRPr="001274D2" w:rsidRDefault="00812A72" w:rsidP="00812A72">
      <w:pPr>
        <w:pStyle w:val="PointManual"/>
      </w:pPr>
      <w:r w:rsidRPr="001274D2">
        <w:br w:type="page"/>
        <w:t>(10)</w:t>
      </w:r>
      <w:r w:rsidRPr="001274D2">
        <w:tab/>
      </w:r>
      <w:r w:rsidR="00D93E72" w:rsidRPr="001274D2">
        <w:t>The requirement in Directive 2009/38/EC to take into account, where possible, the need for a balanced representation of employees with regard to their gender when determining the composition of European Works Councils has proven insufficient to promote gender balance. Women remain underrepresented in most European Works Councils. Therefore, it is necessary to lay down more effective and specific objectives regarding gender representation, to be implemented by management and employee representatives when negotiating or renegotiating their agreements.</w:t>
      </w:r>
      <w:r w:rsidR="00D93E72" w:rsidRPr="001274D2">
        <w:rPr>
          <w:b/>
          <w:bCs/>
        </w:rPr>
        <w:t xml:space="preserve"> </w:t>
      </w:r>
      <w:r w:rsidR="00D93E72" w:rsidRPr="001274D2">
        <w:t>To attain those objectives, it may in certain cases be necessary to give priority to the underrepresented sex in composing the European Works Council or its select committee. In accordance with the case-law of the Court of Justice of the European Union</w:t>
      </w:r>
      <w:r w:rsidR="00D93E72" w:rsidRPr="007D5A79">
        <w:rPr>
          <w:rStyle w:val="FootnoteReference"/>
        </w:rPr>
        <w:footnoteReference w:id="7"/>
      </w:r>
      <w:r w:rsidR="00D93E72" w:rsidRPr="001274D2">
        <w:t>, such positive action is possible, in accordance with the principle of equal treatment of men and women, provided that the measures taken to achieve the gender balance objective do not automatically and unconditionally give priority to persons of a certain gender but allow to take into account other criteria, such as merits and qualifications and the procedure for election established by the relevant laws. Parties to European Works Council agreements should therefore be afforded the flexibility necessary to respect</w:t>
      </w:r>
      <w:r w:rsidR="00D93E72" w:rsidRPr="001274D2">
        <w:rPr>
          <w:i/>
          <w:iCs/>
        </w:rPr>
        <w:t xml:space="preserve"> </w:t>
      </w:r>
      <w:r w:rsidR="00D93E72" w:rsidRPr="001274D2">
        <w:t xml:space="preserve">the legal and factual limitations to the positive action. </w:t>
      </w:r>
      <w:r w:rsidR="00D93E72" w:rsidRPr="001274D2">
        <w:rPr>
          <w:b/>
          <w:bCs/>
        </w:rPr>
        <w:t>Without prejudice to the national laws</w:t>
      </w:r>
      <w:r w:rsidR="00706D9C" w:rsidRPr="001274D2">
        <w:rPr>
          <w:b/>
          <w:bCs/>
        </w:rPr>
        <w:t xml:space="preserve"> </w:t>
      </w:r>
      <w:r w:rsidR="00706D9C" w:rsidRPr="001274D2">
        <w:rPr>
          <w:b/>
          <w:bCs/>
          <w:u w:val="single"/>
        </w:rPr>
        <w:t>[…]</w:t>
      </w:r>
      <w:r w:rsidR="004746D1" w:rsidRPr="001274D2">
        <w:rPr>
          <w:b/>
          <w:bCs/>
        </w:rPr>
        <w:t>,</w:t>
      </w:r>
      <w:r w:rsidR="00D93E72" w:rsidRPr="001274D2">
        <w:rPr>
          <w:b/>
          <w:bCs/>
        </w:rPr>
        <w:t xml:space="preserve"> the agreements should include arrangements to work towards a gender-balanced composition of the European Works Council</w:t>
      </w:r>
      <w:r w:rsidR="00CE2186" w:rsidRPr="001274D2">
        <w:rPr>
          <w:b/>
          <w:bCs/>
        </w:rPr>
        <w:t xml:space="preserve">. </w:t>
      </w:r>
      <w:r w:rsidR="00105936" w:rsidRPr="001274D2">
        <w:rPr>
          <w:b/>
          <w:bCs/>
          <w:u w:val="single"/>
        </w:rPr>
        <w:t>[…]</w:t>
      </w:r>
      <w:r w:rsidR="000F0808" w:rsidRPr="001274D2">
        <w:rPr>
          <w:b/>
          <w:bCs/>
          <w:u w:val="single"/>
        </w:rPr>
        <w:t xml:space="preserve"> </w:t>
      </w:r>
      <w:r w:rsidR="00CE2186" w:rsidRPr="001274D2">
        <w:rPr>
          <w:b/>
          <w:bCs/>
          <w:u w:val="single"/>
        </w:rPr>
        <w:t>This</w:t>
      </w:r>
      <w:r w:rsidR="00D93E72" w:rsidRPr="001274D2">
        <w:rPr>
          <w:b/>
          <w:bCs/>
          <w:u w:val="single"/>
        </w:rPr>
        <w:t xml:space="preserve"> </w:t>
      </w:r>
      <w:r w:rsidR="00CE2186" w:rsidRPr="001274D2">
        <w:rPr>
          <w:b/>
          <w:bCs/>
          <w:u w:val="single"/>
        </w:rPr>
        <w:t>might</w:t>
      </w:r>
      <w:r w:rsidR="00D93E72" w:rsidRPr="001274D2">
        <w:rPr>
          <w:b/>
          <w:bCs/>
        </w:rPr>
        <w:t xml:space="preserve"> include a growth path to a gender-balanced composition of the European Works Council</w:t>
      </w:r>
      <w:r w:rsidR="00CE2186" w:rsidRPr="001274D2">
        <w:rPr>
          <w:b/>
          <w:bCs/>
          <w:u w:val="single"/>
        </w:rPr>
        <w:t>, which</w:t>
      </w:r>
      <w:r w:rsidR="00706D9C" w:rsidRPr="001274D2">
        <w:rPr>
          <w:b/>
          <w:bCs/>
          <w:u w:val="single"/>
        </w:rPr>
        <w:t xml:space="preserve"> might comprise</w:t>
      </w:r>
      <w:r w:rsidR="008700FD" w:rsidRPr="001274D2">
        <w:rPr>
          <w:b/>
          <w:bCs/>
          <w:u w:val="single"/>
        </w:rPr>
        <w:t xml:space="preserve"> intermediate </w:t>
      </w:r>
      <w:r w:rsidR="00A8117F" w:rsidRPr="001274D2">
        <w:rPr>
          <w:b/>
          <w:bCs/>
          <w:u w:val="single"/>
        </w:rPr>
        <w:t>progressive objectives</w:t>
      </w:r>
      <w:r w:rsidR="00CE2186" w:rsidRPr="001274D2">
        <w:rPr>
          <w:b/>
          <w:bCs/>
          <w:u w:val="single"/>
        </w:rPr>
        <w:t>.</w:t>
      </w:r>
      <w:r w:rsidR="00D93E72" w:rsidRPr="001274D2">
        <w:t xml:space="preserve"> For similar considerations, it is appropriate, in addition, to require steps to strive for a gender-balanced composition of the special negotiating body, to promote that objective already during the negotiation phase.</w:t>
      </w:r>
    </w:p>
    <w:p w14:paraId="115EB710" w14:textId="6D055D0A" w:rsidR="00D93E72" w:rsidRPr="001274D2" w:rsidRDefault="00812A72" w:rsidP="00812A72">
      <w:pPr>
        <w:pStyle w:val="PointManual"/>
      </w:pPr>
      <w:r w:rsidRPr="001274D2">
        <w:br w:type="page"/>
        <w:t>(11)</w:t>
      </w:r>
      <w:r w:rsidRPr="001274D2">
        <w:tab/>
      </w:r>
      <w:r w:rsidR="00D93E72" w:rsidRPr="001274D2">
        <w:t>Evidence shows that the initiation of negotiations is sometimes delayed beyond the period of six months set out in Directive 2009/38/EC. In some cases, management neither takes steps nor expressly refuses to commence negotiations following a request to set up a European Works Council. It should therefore be specified that the subsidiary requirements laid down in Directive 2009/38/EC apply where the first meeting of the special negotiating body is not convened within six months following a request to establish a European Works Council, irrespective of whether central management expressly refuses to commence negotiations.</w:t>
      </w:r>
    </w:p>
    <w:p w14:paraId="79A19868" w14:textId="04FF49CA" w:rsidR="00D93E72" w:rsidRPr="001274D2" w:rsidRDefault="00812A72" w:rsidP="00812A72">
      <w:pPr>
        <w:pStyle w:val="PointManual"/>
      </w:pPr>
      <w:r w:rsidRPr="001274D2">
        <w:t>(12)</w:t>
      </w:r>
      <w:r w:rsidRPr="001274D2">
        <w:tab/>
      </w:r>
      <w:r w:rsidR="00D93E72" w:rsidRPr="001274D2">
        <w:t xml:space="preserve">When sharing sensitive information with members of European Works Councils, members of special negotiating bodies, or employees’ representatives in the framework of an information and consultation procedure, management has the possibility to provide that such information is shared in confidence and should not be disclosed further. When sharing information in confidence, central management should be required to provide at the same time a reasonable justification. </w:t>
      </w:r>
      <w:r w:rsidR="00D93E72" w:rsidRPr="001274D2">
        <w:rPr>
          <w:b/>
          <w:bCs/>
        </w:rPr>
        <w:t>The confidentiality should only be upheld as long as the reasons for it persist.</w:t>
      </w:r>
      <w:r w:rsidR="00D93E72" w:rsidRPr="001274D2">
        <w:t xml:space="preserve"> Setting up adequate arrangements to safeguard the confidentiality of sensitive information can instil trust and facilitate the sharing of such information, while protecting business and </w:t>
      </w:r>
      <w:r w:rsidR="00E47D0A" w:rsidRPr="001274D2">
        <w:rPr>
          <w:b/>
          <w:bCs/>
          <w:u w:val="single"/>
        </w:rPr>
        <w:t>employee</w:t>
      </w:r>
      <w:r w:rsidR="00D93E72" w:rsidRPr="001274D2">
        <w:t>s’ interests, including to avert growing risks such as industrial espionage.</w:t>
      </w:r>
    </w:p>
    <w:p w14:paraId="4760C571" w14:textId="31138376" w:rsidR="00D93E72" w:rsidRPr="001274D2" w:rsidRDefault="00812A72" w:rsidP="00812A72">
      <w:pPr>
        <w:pStyle w:val="PointManual"/>
      </w:pPr>
      <w:r w:rsidRPr="001274D2">
        <w:t>(13)</w:t>
      </w:r>
      <w:r w:rsidRPr="001274D2">
        <w:tab/>
      </w:r>
      <w:r w:rsidR="00D93E72" w:rsidRPr="001274D2">
        <w:t xml:space="preserve">The possibility of central management not to transmit information to the members of special negotiating bodies or of European Works Councils, or to employees’ representatives in the framework of an information and consultation procedure, should be limited to cases where such transmission would seriously harm the functioning of the undertakings concerned. For reasons of transparency and effective redress, </w:t>
      </w:r>
      <w:bookmarkStart w:id="3" w:name="_Hlk155688833"/>
      <w:r w:rsidR="00D93E72" w:rsidRPr="001274D2">
        <w:t xml:space="preserve">central management should also be required to specify the reasons justifying </w:t>
      </w:r>
      <w:bookmarkEnd w:id="3"/>
      <w:r w:rsidR="00D93E72" w:rsidRPr="001274D2">
        <w:t xml:space="preserve">the non-transmission of information </w:t>
      </w:r>
      <w:r w:rsidR="00D93E72" w:rsidRPr="001274D2">
        <w:rPr>
          <w:b/>
          <w:bCs/>
        </w:rPr>
        <w:t>in a balanced manner which allows for sufficient legal scrutiny, while not revealing protected information</w:t>
      </w:r>
      <w:r w:rsidR="00D93E72" w:rsidRPr="001274D2">
        <w:t xml:space="preserve">. </w:t>
      </w:r>
      <w:r w:rsidR="00D93E72" w:rsidRPr="001274D2">
        <w:rPr>
          <w:b/>
          <w:bCs/>
        </w:rPr>
        <w:t xml:space="preserve">The </w:t>
      </w:r>
      <w:r w:rsidR="00AD1795" w:rsidRPr="001274D2">
        <w:rPr>
          <w:b/>
          <w:bCs/>
        </w:rPr>
        <w:t xml:space="preserve">dispensation from transmitting information </w:t>
      </w:r>
      <w:r w:rsidR="00D93E72" w:rsidRPr="001274D2">
        <w:rPr>
          <w:b/>
          <w:bCs/>
        </w:rPr>
        <w:t>applies as long as the reasons for it persist.</w:t>
      </w:r>
    </w:p>
    <w:p w14:paraId="66835D09" w14:textId="50BE7DC8" w:rsidR="00D93E72" w:rsidRPr="001274D2" w:rsidRDefault="00812A72" w:rsidP="00812A72">
      <w:pPr>
        <w:pStyle w:val="PointManual"/>
      </w:pPr>
      <w:r w:rsidRPr="001274D2">
        <w:br w:type="page"/>
        <w:t>(14)</w:t>
      </w:r>
      <w:r w:rsidRPr="001274D2">
        <w:tab/>
      </w:r>
      <w:r w:rsidR="00D93E72" w:rsidRPr="001274D2">
        <w:t>With a view to increasing legal clarity, it is appropriate to lay down the provisions on the transmission of information in confidence and on the non-transmission of information in two separate Articles. In addition, the existing provision allowing Member States to lay down particular rules for undertakings pursuing the aim of ideological guidance should be moved to the Article concerning the relationship with other national provisions, because it pertains to the implementation of the requirements of Directive 2009/38/EC more broadly.</w:t>
      </w:r>
    </w:p>
    <w:p w14:paraId="58950C11" w14:textId="78F8C9F9" w:rsidR="00D93E72" w:rsidRPr="001274D2" w:rsidRDefault="00812A72" w:rsidP="00812A72">
      <w:pPr>
        <w:pStyle w:val="PointManual"/>
      </w:pPr>
      <w:r w:rsidRPr="001274D2">
        <w:t>(15)</w:t>
      </w:r>
      <w:r w:rsidRPr="001274D2">
        <w:tab/>
      </w:r>
      <w:r w:rsidR="00D93E72" w:rsidRPr="001274D2">
        <w:t xml:space="preserve">Effective transnational consultation requires a genuine dialogue between central management and European Works Councils, or employees’ representatives in the framework of an information and consultation procedure. This implies </w:t>
      </w:r>
      <w:bookmarkStart w:id="4" w:name="_Hlk152836200"/>
      <w:r w:rsidR="00D93E72" w:rsidRPr="001274D2">
        <w:t>that information and consultation need to be conducted in a way that enables worker’s representatives to express their opinion prior to the adoption of the decision and</w:t>
      </w:r>
      <w:bookmarkEnd w:id="4"/>
      <w:r w:rsidR="00D93E72" w:rsidRPr="001274D2">
        <w:t xml:space="preserve"> that opinions issued by European Works Councils or employees’ representatives must receive a reasoned response from central management before the latter adopts its decision on the proposed measure at issue. </w:t>
      </w:r>
      <w:r w:rsidR="00D93E72" w:rsidRPr="001274D2">
        <w:rPr>
          <w:rFonts w:asciiTheme="majorBidi" w:hAnsiTheme="majorBidi" w:cstheme="majorBidi"/>
          <w:b/>
          <w:bCs/>
          <w:color w:val="333333"/>
          <w:szCs w:val="24"/>
          <w:shd w:val="clear" w:color="auto" w:fill="FFFFFF"/>
        </w:rPr>
        <w:t>It is therefore important</w:t>
      </w:r>
      <w:r w:rsidR="00D93E72" w:rsidRPr="001274D2">
        <w:rPr>
          <w:rFonts w:asciiTheme="majorBidi" w:eastAsia="Times New Roman" w:hAnsiTheme="majorBidi" w:cstheme="majorBidi"/>
          <w:b/>
          <w:bCs/>
          <w:szCs w:val="24"/>
          <w:lang w:eastAsia="fr-BE"/>
        </w:rPr>
        <w:t>,</w:t>
      </w:r>
      <w:r w:rsidR="00D93E72" w:rsidRPr="001274D2">
        <w:rPr>
          <w:rFonts w:eastAsia="Times New Roman"/>
          <w:b/>
          <w:bCs/>
          <w:szCs w:val="24"/>
          <w:lang w:eastAsia="fr-BE"/>
        </w:rPr>
        <w:t xml:space="preserve"> taking into account </w:t>
      </w:r>
      <w:r w:rsidR="00143D53" w:rsidRPr="001274D2">
        <w:rPr>
          <w:rFonts w:eastAsia="Times New Roman"/>
          <w:b/>
          <w:bCs/>
          <w:szCs w:val="24"/>
          <w:u w:val="single"/>
          <w:lang w:eastAsia="fr-BE"/>
        </w:rPr>
        <w:t xml:space="preserve">the degree </w:t>
      </w:r>
      <w:r w:rsidR="00D93E72" w:rsidRPr="001274D2">
        <w:rPr>
          <w:rFonts w:eastAsia="Times New Roman"/>
          <w:b/>
          <w:bCs/>
          <w:szCs w:val="24"/>
          <w:lang w:eastAsia="fr-BE"/>
        </w:rPr>
        <w:t xml:space="preserve">of </w:t>
      </w:r>
      <w:r w:rsidR="00143D53" w:rsidRPr="001274D2">
        <w:rPr>
          <w:rFonts w:eastAsia="Times New Roman"/>
          <w:b/>
          <w:bCs/>
          <w:szCs w:val="24"/>
          <w:u w:val="single"/>
          <w:lang w:eastAsia="fr-BE"/>
        </w:rPr>
        <w:t>[...]</w:t>
      </w:r>
      <w:r w:rsidR="00D93E72" w:rsidRPr="001274D2">
        <w:rPr>
          <w:rFonts w:eastAsia="Times New Roman"/>
          <w:b/>
          <w:bCs/>
          <w:szCs w:val="24"/>
          <w:lang w:eastAsia="fr-BE"/>
        </w:rPr>
        <w:t>urgency of the matter, that information and consultation take place in good time and that the European Works Council and the employees' representatives are given sufficient time to express their views in order to ensure the effective exercise of the rights provided for in this Directive.</w:t>
      </w:r>
      <w:r w:rsidR="00D93E72" w:rsidRPr="001274D2">
        <w:rPr>
          <w:rFonts w:eastAsia="Times New Roman"/>
          <w:b/>
          <w:bCs/>
          <w:szCs w:val="24"/>
          <w:u w:val="single"/>
          <w:lang w:eastAsia="fr-BE"/>
        </w:rPr>
        <w:t xml:space="preserve"> </w:t>
      </w:r>
      <w:r w:rsidR="007A300D" w:rsidRPr="001274D2">
        <w:rPr>
          <w:rFonts w:eastAsia="Times New Roman"/>
          <w:b/>
          <w:bCs/>
          <w:szCs w:val="24"/>
          <w:u w:val="single"/>
          <w:lang w:eastAsia="fr-BE"/>
        </w:rPr>
        <w:t>[…]</w:t>
      </w:r>
      <w:r w:rsidR="00FB1B14" w:rsidRPr="001274D2">
        <w:rPr>
          <w:rFonts w:eastAsia="Times New Roman"/>
          <w:b/>
          <w:bCs/>
          <w:szCs w:val="24"/>
          <w:u w:val="single"/>
          <w:lang w:eastAsia="fr-BE"/>
        </w:rPr>
        <w:t xml:space="preserve"> </w:t>
      </w:r>
      <w:r w:rsidR="008E6E92" w:rsidRPr="001274D2">
        <w:rPr>
          <w:b/>
          <w:bCs/>
          <w:u w:val="single"/>
        </w:rPr>
        <w:t xml:space="preserve">Without prejudice to the possibility of Member States to provide for more </w:t>
      </w:r>
      <w:r w:rsidR="007A300D" w:rsidRPr="001274D2">
        <w:rPr>
          <w:b/>
          <w:bCs/>
          <w:u w:val="single"/>
        </w:rPr>
        <w:t>stringent</w:t>
      </w:r>
      <w:r w:rsidR="008E6E92" w:rsidRPr="001274D2">
        <w:rPr>
          <w:b/>
          <w:bCs/>
          <w:u w:val="single"/>
        </w:rPr>
        <w:t xml:space="preserve"> </w:t>
      </w:r>
      <w:r w:rsidR="007A300D" w:rsidRPr="001274D2">
        <w:rPr>
          <w:b/>
          <w:bCs/>
          <w:u w:val="single"/>
        </w:rPr>
        <w:t xml:space="preserve">protective measures </w:t>
      </w:r>
      <w:r w:rsidR="008E6E92" w:rsidRPr="001274D2">
        <w:rPr>
          <w:b/>
          <w:bCs/>
          <w:u w:val="single"/>
        </w:rPr>
        <w:t xml:space="preserve">according to Article 153 </w:t>
      </w:r>
      <w:r w:rsidR="007A300D" w:rsidRPr="001274D2">
        <w:rPr>
          <w:b/>
          <w:bCs/>
          <w:u w:val="single"/>
        </w:rPr>
        <w:t>paragraph 4</w:t>
      </w:r>
      <w:r w:rsidR="008E6E92" w:rsidRPr="001274D2">
        <w:rPr>
          <w:b/>
          <w:bCs/>
          <w:u w:val="single"/>
        </w:rPr>
        <w:t xml:space="preserve"> TFEU, th</w:t>
      </w:r>
      <w:r w:rsidR="007A300D" w:rsidRPr="001274D2">
        <w:rPr>
          <w:b/>
          <w:bCs/>
          <w:u w:val="single"/>
        </w:rPr>
        <w:t>is amending Directive</w:t>
      </w:r>
      <w:r w:rsidR="008E6E92" w:rsidRPr="001274D2">
        <w:rPr>
          <w:b/>
          <w:bCs/>
          <w:u w:val="single"/>
        </w:rPr>
        <w:t xml:space="preserve"> </w:t>
      </w:r>
      <w:r w:rsidR="007A300D" w:rsidRPr="001274D2">
        <w:rPr>
          <w:b/>
          <w:bCs/>
          <w:u w:val="single"/>
        </w:rPr>
        <w:t>should</w:t>
      </w:r>
      <w:r w:rsidR="008E6E92" w:rsidRPr="001274D2">
        <w:rPr>
          <w:b/>
          <w:bCs/>
          <w:u w:val="single"/>
        </w:rPr>
        <w:t xml:space="preserve"> not prevent undertakings from adopting decisions in case the opinion of the European Works Council has not been provided within a reasonable time.</w:t>
      </w:r>
    </w:p>
    <w:p w14:paraId="68FCD44C" w14:textId="36EC52B9" w:rsidR="00D93E72" w:rsidRPr="001274D2" w:rsidRDefault="00812A72" w:rsidP="00812A72">
      <w:pPr>
        <w:pStyle w:val="PointManual"/>
      </w:pPr>
      <w:r w:rsidRPr="001274D2">
        <w:t>(16)</w:t>
      </w:r>
      <w:r w:rsidRPr="001274D2">
        <w:tab/>
      </w:r>
      <w:r w:rsidR="00D93E72" w:rsidRPr="001274D2">
        <w:t xml:space="preserve">In addition, provisions of Directive 2009/38/EC on the role and protection of employees’ representatives should be amended to increase clarity and accuracy, in particular with regard to the protection of the members of special negotiating bodies and the members of European Works Councils against retaliatory measures or dismissals. In order to avoid disputes, it should also be specified that the central management is to cover the </w:t>
      </w:r>
      <w:r w:rsidR="006D3189" w:rsidRPr="001274D2">
        <w:rPr>
          <w:b/>
          <w:bCs/>
          <w:u w:val="single"/>
        </w:rPr>
        <w:t>reasonable</w:t>
      </w:r>
      <w:r w:rsidR="006D3189" w:rsidRPr="001274D2">
        <w:t xml:space="preserve"> </w:t>
      </w:r>
      <w:r w:rsidR="00D93E72" w:rsidRPr="001274D2">
        <w:t xml:space="preserve">costs of training </w:t>
      </w:r>
      <w:r w:rsidR="00F11D84" w:rsidRPr="001274D2">
        <w:rPr>
          <w:b/>
          <w:bCs/>
          <w:u w:val="single"/>
        </w:rPr>
        <w:t>and related expenses</w:t>
      </w:r>
      <w:r w:rsidR="00F11D84" w:rsidRPr="001274D2">
        <w:t xml:space="preserve"> </w:t>
      </w:r>
      <w:r w:rsidR="00D93E72" w:rsidRPr="001274D2">
        <w:t xml:space="preserve">of the members of the special negotiating body and of the European Works Council </w:t>
      </w:r>
      <w:r w:rsidR="00902BBB" w:rsidRPr="001274D2">
        <w:rPr>
          <w:b/>
          <w:bCs/>
          <w:u w:val="single"/>
        </w:rPr>
        <w:t>[…]</w:t>
      </w:r>
      <w:r w:rsidR="00D93E72" w:rsidRPr="001274D2">
        <w:t>, which is necessary for the exercise of their duties, where management has been informed of those costs in advance.</w:t>
      </w:r>
    </w:p>
    <w:p w14:paraId="46694592" w14:textId="3D46542F" w:rsidR="00D93E72" w:rsidRPr="001274D2" w:rsidRDefault="00812A72" w:rsidP="00812A72">
      <w:pPr>
        <w:pStyle w:val="PointManual"/>
      </w:pPr>
      <w:r w:rsidRPr="001274D2">
        <w:br w:type="page"/>
        <w:t>(17)</w:t>
      </w:r>
      <w:r w:rsidRPr="001274D2">
        <w:tab/>
      </w:r>
      <w:r w:rsidR="00D93E72" w:rsidRPr="001274D2">
        <w:t>In certain Member States, rightsholders under Directive 2009/38/EC encounter difficulties in bringing legal actions to enforce their rights. It is therefore necessary to strengthen Member States’ obligation to ensure effective remedies and access to justice and the supervision by the Commission of their compliance with that obligation. For that purpose, Member States should be required to notify the Commission of how and under which circumstances the rightsholders can bring judicial, and where applicable, administrative procedures, in respect of all their rights under this Directive. Moreover, it should be clarified that the relevant procedures have to enable a</w:t>
      </w:r>
      <w:r w:rsidR="00D93E72" w:rsidRPr="001274D2">
        <w:rPr>
          <w:b/>
          <w:bCs/>
        </w:rPr>
        <w:t>n […]</w:t>
      </w:r>
      <w:r w:rsidR="00D93E72" w:rsidRPr="001274D2">
        <w:t xml:space="preserve"> effective enforcement, and that possible prior out-of-court settlement procedures can</w:t>
      </w:r>
      <w:r w:rsidR="00D93E72" w:rsidRPr="001274D2">
        <w:rPr>
          <w:b/>
          <w:bCs/>
        </w:rPr>
        <w:t>not</w:t>
      </w:r>
      <w:r w:rsidR="00D93E72" w:rsidRPr="001274D2">
        <w:t xml:space="preserve"> </w:t>
      </w:r>
      <w:r w:rsidR="00D93E72" w:rsidRPr="001274D2">
        <w:rPr>
          <w:b/>
          <w:bCs/>
          <w:u w:val="single"/>
        </w:rPr>
        <w:t xml:space="preserve">[…] </w:t>
      </w:r>
      <w:r w:rsidR="00EF1A46" w:rsidRPr="001274D2">
        <w:rPr>
          <w:b/>
          <w:bCs/>
          <w:u w:val="single"/>
        </w:rPr>
        <w:t>deprive</w:t>
      </w:r>
      <w:r w:rsidR="00EF1A46" w:rsidRPr="001274D2">
        <w:rPr>
          <w:b/>
          <w:bCs/>
        </w:rPr>
        <w:t xml:space="preserve"> </w:t>
      </w:r>
      <w:r w:rsidR="00D93E72" w:rsidRPr="001274D2">
        <w:t xml:space="preserve">rightsholders’ </w:t>
      </w:r>
      <w:r w:rsidR="00EF1A46" w:rsidRPr="001274D2">
        <w:rPr>
          <w:b/>
          <w:bCs/>
          <w:u w:val="single"/>
        </w:rPr>
        <w:t xml:space="preserve">of their </w:t>
      </w:r>
      <w:r w:rsidR="00D93E72" w:rsidRPr="001274D2">
        <w:t>right to bring legal proceedings.</w:t>
      </w:r>
    </w:p>
    <w:p w14:paraId="4F9EC356" w14:textId="3C2A492F" w:rsidR="00D93E72" w:rsidRPr="001274D2" w:rsidRDefault="00812A72" w:rsidP="00812A72">
      <w:pPr>
        <w:pStyle w:val="PointManual"/>
      </w:pPr>
      <w:r w:rsidRPr="001274D2">
        <w:t>(18)</w:t>
      </w:r>
      <w:r w:rsidRPr="001274D2">
        <w:tab/>
      </w:r>
      <w:r w:rsidR="00D93E72" w:rsidRPr="001274D2">
        <w:t xml:space="preserve">The Commission’s 2018 evaluation of Directive 2009/38/EC has shown that sanctions applicable in the case of non-compliance with transnational information and consultation requirements are often not sufficiently dissuasive. Therefore, it is appropriate to lay down the Member States’ obligation to provide for effective, dissuasive and proportionate sanctions. </w:t>
      </w:r>
      <w:r w:rsidR="00D93E72" w:rsidRPr="001274D2">
        <w:rPr>
          <w:b/>
          <w:bCs/>
        </w:rPr>
        <w:t>Financial penalties</w:t>
      </w:r>
      <w:r w:rsidR="00D93E72" w:rsidRPr="001274D2">
        <w:t xml:space="preserve"> should be provided for in case of failure to comply with the information and consultation procedures set out in Directive 2009/38/EC. Other forms of sanctions could also be provided for.</w:t>
      </w:r>
      <w:r w:rsidR="00D93E72" w:rsidRPr="001274D2">
        <w:rPr>
          <w:b/>
          <w:bCs/>
        </w:rPr>
        <w:t xml:space="preserve"> […]</w:t>
      </w:r>
      <w:r w:rsidR="00D93E72" w:rsidRPr="001274D2">
        <w:t xml:space="preserve"> </w:t>
      </w:r>
      <w:r w:rsidR="00D93E72" w:rsidRPr="001274D2">
        <w:rPr>
          <w:b/>
          <w:bCs/>
        </w:rPr>
        <w:t>In order to be effective, dissuasive and proportionate,</w:t>
      </w:r>
      <w:r w:rsidR="00D93E72" w:rsidRPr="001274D2">
        <w:t xml:space="preserve"> </w:t>
      </w:r>
      <w:r w:rsidR="00D93E72" w:rsidRPr="001274D2">
        <w:rPr>
          <w:b/>
          <w:bCs/>
        </w:rPr>
        <w:t>penalties c</w:t>
      </w:r>
      <w:r w:rsidR="00D93E72" w:rsidRPr="001274D2">
        <w:t xml:space="preserve">ould be determined taking into consideration </w:t>
      </w:r>
      <w:r w:rsidR="00D93E72" w:rsidRPr="001274D2">
        <w:rPr>
          <w:b/>
          <w:bCs/>
        </w:rPr>
        <w:t xml:space="preserve">factors such as </w:t>
      </w:r>
      <w:r w:rsidR="00D93E72" w:rsidRPr="001274D2">
        <w:t xml:space="preserve">the size and financial situation of the Community-scale undertaking or group – for example, based on its annual turnover </w:t>
      </w:r>
      <w:bookmarkStart w:id="5" w:name="_Hlk155689045"/>
      <w:r w:rsidR="00D93E72" w:rsidRPr="001274D2">
        <w:t xml:space="preserve">– and any other relevant factors </w:t>
      </w:r>
      <w:bookmarkEnd w:id="5"/>
      <w:r w:rsidR="00D93E72" w:rsidRPr="001274D2">
        <w:t xml:space="preserve">– such as the gravity, duration, consequences, and intentional or negligent nature of the offence </w:t>
      </w:r>
      <w:r w:rsidR="00D93E72" w:rsidRPr="001274D2">
        <w:rPr>
          <w:b/>
          <w:bCs/>
        </w:rPr>
        <w:t>[…]</w:t>
      </w:r>
      <w:r w:rsidR="00D93E72" w:rsidRPr="001274D2">
        <w:t>.</w:t>
      </w:r>
    </w:p>
    <w:p w14:paraId="18B89728" w14:textId="3803FECA" w:rsidR="00D93E72" w:rsidRPr="001274D2" w:rsidRDefault="00094DF8" w:rsidP="00A00E61">
      <w:pPr>
        <w:pStyle w:val="PointManual"/>
        <w:rPr>
          <w:b/>
          <w:bCs/>
          <w:u w:val="single"/>
        </w:rPr>
      </w:pPr>
      <w:r w:rsidRPr="001274D2">
        <w:rPr>
          <w:b/>
          <w:bCs/>
        </w:rPr>
        <w:br w:type="page"/>
      </w:r>
      <w:r w:rsidR="00D93E72" w:rsidRPr="001274D2">
        <w:rPr>
          <w:b/>
          <w:bCs/>
        </w:rPr>
        <w:t>(18a-new)</w:t>
      </w:r>
      <w:r w:rsidR="00D93E72" w:rsidRPr="001274D2">
        <w:rPr>
          <w:b/>
          <w:bCs/>
        </w:rPr>
        <w:tab/>
      </w:r>
      <w:r w:rsidR="00FB1B14" w:rsidRPr="001274D2">
        <w:rPr>
          <w:b/>
          <w:bCs/>
          <w:u w:val="single"/>
        </w:rPr>
        <w:t>[…]</w:t>
      </w:r>
      <w:r w:rsidR="00D93E72" w:rsidRPr="001274D2">
        <w:rPr>
          <w:b/>
          <w:bCs/>
          <w:u w:val="single"/>
        </w:rPr>
        <w:t xml:space="preserve"> </w:t>
      </w:r>
      <w:r w:rsidR="00276E7F" w:rsidRPr="001274D2">
        <w:rPr>
          <w:b/>
          <w:bCs/>
          <w:u w:val="single"/>
        </w:rPr>
        <w:t>T</w:t>
      </w:r>
      <w:r w:rsidR="00D93E72" w:rsidRPr="001274D2">
        <w:rPr>
          <w:b/>
          <w:bCs/>
        </w:rPr>
        <w:t xml:space="preserve">he special negotiating bodies, the European Works Councils and their members on their behalf should have the necessary means to cover the </w:t>
      </w:r>
      <w:r w:rsidR="00D93E72" w:rsidRPr="001274D2">
        <w:rPr>
          <w:b/>
          <w:bCs/>
          <w:szCs w:val="24"/>
        </w:rPr>
        <w:t xml:space="preserve">costs of </w:t>
      </w:r>
      <w:r w:rsidR="00D93E72" w:rsidRPr="001274D2">
        <w:rPr>
          <w:b/>
          <w:bCs/>
          <w:color w:val="231F20"/>
          <w:szCs w:val="24"/>
        </w:rPr>
        <w:t xml:space="preserve">legal representation and participation in administrative or judicial proceedings. The Member states should stipulate that these costs are to be </w:t>
      </w:r>
      <w:r w:rsidR="00D93E72" w:rsidRPr="001274D2">
        <w:rPr>
          <w:b/>
          <w:bCs/>
        </w:rPr>
        <w:t>borne</w:t>
      </w:r>
      <w:r w:rsidR="00D93E72" w:rsidRPr="001274D2">
        <w:rPr>
          <w:b/>
          <w:bCs/>
          <w:color w:val="231F20"/>
          <w:szCs w:val="24"/>
        </w:rPr>
        <w:t xml:space="preserve"> by the central management</w:t>
      </w:r>
      <w:r w:rsidR="00B946E9" w:rsidRPr="001274D2">
        <w:rPr>
          <w:b/>
          <w:bCs/>
          <w:color w:val="231F20"/>
          <w:szCs w:val="24"/>
        </w:rPr>
        <w:t xml:space="preserve"> </w:t>
      </w:r>
      <w:r w:rsidR="00B946E9" w:rsidRPr="001274D2">
        <w:rPr>
          <w:b/>
          <w:bCs/>
          <w:color w:val="231F20"/>
          <w:szCs w:val="24"/>
          <w:u w:val="single"/>
        </w:rPr>
        <w:t>in as far as these costs are reasona</w:t>
      </w:r>
      <w:r w:rsidR="00D77548" w:rsidRPr="001274D2">
        <w:rPr>
          <w:b/>
          <w:bCs/>
          <w:color w:val="231F20"/>
          <w:szCs w:val="24"/>
          <w:u w:val="single"/>
        </w:rPr>
        <w:t>ble</w:t>
      </w:r>
      <w:r w:rsidR="00D93E72" w:rsidRPr="001274D2">
        <w:rPr>
          <w:b/>
          <w:bCs/>
          <w:color w:val="231F20"/>
          <w:szCs w:val="24"/>
        </w:rPr>
        <w:t xml:space="preserve"> or should take </w:t>
      </w:r>
      <w:r w:rsidR="00D93E72" w:rsidRPr="001274D2">
        <w:rPr>
          <w:b/>
          <w:bCs/>
        </w:rPr>
        <w:t xml:space="preserve">other measures in order to ensure that European Works Councils are not de facto prevented from participating </w:t>
      </w:r>
      <w:r w:rsidR="00D93E72" w:rsidRPr="001274D2">
        <w:rPr>
          <w:b/>
          <w:bCs/>
          <w:color w:val="231F20"/>
          <w:szCs w:val="24"/>
        </w:rPr>
        <w:t>in administrative or judicial proceedings</w:t>
      </w:r>
      <w:r w:rsidR="00D93E72" w:rsidRPr="001274D2" w:rsidDel="00AA703C">
        <w:rPr>
          <w:b/>
          <w:bCs/>
        </w:rPr>
        <w:t xml:space="preserve"> </w:t>
      </w:r>
      <w:r w:rsidR="00D93E72" w:rsidRPr="001274D2">
        <w:rPr>
          <w:b/>
          <w:bCs/>
        </w:rPr>
        <w:t>due to a lack of financial resources.</w:t>
      </w:r>
      <w:r w:rsidR="000A5851" w:rsidRPr="001274D2">
        <w:rPr>
          <w:b/>
          <w:bCs/>
        </w:rPr>
        <w:t xml:space="preserve"> </w:t>
      </w:r>
      <w:r w:rsidR="000A5851" w:rsidRPr="001274D2">
        <w:rPr>
          <w:b/>
          <w:bCs/>
          <w:u w:val="single"/>
        </w:rPr>
        <w:t xml:space="preserve">This could be done for example by </w:t>
      </w:r>
      <w:r w:rsidR="007F1A26" w:rsidRPr="001274D2">
        <w:rPr>
          <w:b/>
          <w:bCs/>
          <w:u w:val="single"/>
        </w:rPr>
        <w:t xml:space="preserve">example by requiring allocation of </w:t>
      </w:r>
      <w:r w:rsidR="000A5851" w:rsidRPr="001274D2">
        <w:rPr>
          <w:b/>
          <w:bCs/>
          <w:u w:val="single"/>
        </w:rPr>
        <w:t>a</w:t>
      </w:r>
      <w:r w:rsidR="006A1ED9" w:rsidRPr="001274D2">
        <w:rPr>
          <w:b/>
          <w:bCs/>
          <w:u w:val="single"/>
        </w:rPr>
        <w:t xml:space="preserve">n appropriate operational </w:t>
      </w:r>
      <w:r w:rsidR="000A5851" w:rsidRPr="001274D2">
        <w:rPr>
          <w:b/>
          <w:bCs/>
          <w:u w:val="single"/>
        </w:rPr>
        <w:t>budget</w:t>
      </w:r>
      <w:r w:rsidR="00E91917" w:rsidRPr="001274D2">
        <w:rPr>
          <w:b/>
          <w:bCs/>
          <w:u w:val="single"/>
        </w:rPr>
        <w:t xml:space="preserve"> to the European Works Council</w:t>
      </w:r>
      <w:r w:rsidR="000A5851" w:rsidRPr="001274D2">
        <w:rPr>
          <w:b/>
          <w:bCs/>
          <w:u w:val="single"/>
        </w:rPr>
        <w:t xml:space="preserve">, </w:t>
      </w:r>
      <w:r w:rsidR="003272E1" w:rsidRPr="001274D2">
        <w:rPr>
          <w:b/>
          <w:bCs/>
          <w:u w:val="single"/>
        </w:rPr>
        <w:t xml:space="preserve">by </w:t>
      </w:r>
      <w:r w:rsidR="000A5851" w:rsidRPr="001274D2">
        <w:rPr>
          <w:b/>
          <w:bCs/>
          <w:u w:val="single"/>
        </w:rPr>
        <w:t>setting up of solidarity funds</w:t>
      </w:r>
      <w:r w:rsidR="008F6D44" w:rsidRPr="001274D2">
        <w:rPr>
          <w:b/>
          <w:bCs/>
          <w:u w:val="single"/>
        </w:rPr>
        <w:t xml:space="preserve"> at national level, </w:t>
      </w:r>
      <w:r w:rsidR="003272E1" w:rsidRPr="001274D2">
        <w:rPr>
          <w:b/>
          <w:bCs/>
          <w:u w:val="single"/>
        </w:rPr>
        <w:t>by providing in</w:t>
      </w:r>
      <w:r w:rsidR="000A5851" w:rsidRPr="001274D2">
        <w:rPr>
          <w:b/>
          <w:bCs/>
          <w:u w:val="single"/>
        </w:rPr>
        <w:t>surances covering legal costs</w:t>
      </w:r>
      <w:r w:rsidR="003272E1" w:rsidRPr="001274D2">
        <w:rPr>
          <w:b/>
          <w:bCs/>
          <w:u w:val="single"/>
        </w:rPr>
        <w:t xml:space="preserve">, by granting </w:t>
      </w:r>
      <w:r w:rsidR="00DB6B03" w:rsidRPr="001274D2">
        <w:rPr>
          <w:b/>
          <w:bCs/>
          <w:u w:val="single"/>
        </w:rPr>
        <w:t xml:space="preserve">access to </w:t>
      </w:r>
      <w:r w:rsidR="003272E1" w:rsidRPr="001274D2">
        <w:rPr>
          <w:b/>
          <w:bCs/>
          <w:u w:val="single"/>
        </w:rPr>
        <w:t xml:space="preserve">legal aid </w:t>
      </w:r>
      <w:r w:rsidR="00B879A5" w:rsidRPr="001274D2">
        <w:rPr>
          <w:b/>
          <w:bCs/>
          <w:u w:val="single"/>
        </w:rPr>
        <w:t xml:space="preserve">in certain </w:t>
      </w:r>
      <w:r w:rsidR="00506C6B" w:rsidRPr="001274D2">
        <w:rPr>
          <w:b/>
          <w:bCs/>
          <w:u w:val="single"/>
        </w:rPr>
        <w:t>circumstances</w:t>
      </w:r>
      <w:r w:rsidR="00B879A5" w:rsidRPr="001274D2">
        <w:rPr>
          <w:b/>
          <w:bCs/>
          <w:u w:val="single"/>
        </w:rPr>
        <w:t xml:space="preserve"> or </w:t>
      </w:r>
      <w:r w:rsidR="00CB5608" w:rsidRPr="001274D2">
        <w:rPr>
          <w:b/>
          <w:bCs/>
          <w:u w:val="single"/>
        </w:rPr>
        <w:t xml:space="preserve">through </w:t>
      </w:r>
      <w:r w:rsidR="00B879A5" w:rsidRPr="001274D2">
        <w:rPr>
          <w:b/>
          <w:bCs/>
          <w:u w:val="single"/>
        </w:rPr>
        <w:t xml:space="preserve">other provisions </w:t>
      </w:r>
      <w:r w:rsidR="00555C2D" w:rsidRPr="001274D2">
        <w:rPr>
          <w:b/>
          <w:bCs/>
          <w:u w:val="single"/>
        </w:rPr>
        <w:t>in line with national laws and practices</w:t>
      </w:r>
      <w:r w:rsidR="000A5851" w:rsidRPr="001274D2">
        <w:rPr>
          <w:b/>
          <w:bCs/>
          <w:u w:val="single"/>
        </w:rPr>
        <w:t>.</w:t>
      </w:r>
    </w:p>
    <w:p w14:paraId="7C8B95FF" w14:textId="232E60B8" w:rsidR="00D93E72" w:rsidRPr="001274D2" w:rsidRDefault="00E10EBB" w:rsidP="0074242E">
      <w:pPr>
        <w:pStyle w:val="PointManual"/>
      </w:pPr>
      <w:r w:rsidRPr="001274D2">
        <w:br w:type="page"/>
      </w:r>
      <w:r w:rsidR="00094DF8" w:rsidRPr="001274D2">
        <w:t>(19)</w:t>
      </w:r>
      <w:r w:rsidR="00094DF8" w:rsidRPr="001274D2">
        <w:tab/>
      </w:r>
      <w:r w:rsidR="00D93E72" w:rsidRPr="001274D2">
        <w:t>Undertakings with an agreement on the transnational information and consultation of employees concluded before 23 September 1996, that is to say prior to the date of application of Council Directive 94/45/EC</w:t>
      </w:r>
      <w:r w:rsidR="00D93E72" w:rsidRPr="007D5A79">
        <w:rPr>
          <w:rStyle w:val="FootnoteReference"/>
        </w:rPr>
        <w:footnoteReference w:id="8"/>
      </w:r>
      <w:r w:rsidR="00D93E72" w:rsidRPr="001274D2">
        <w:t xml:space="preserve">, are exempted from the application of the obligations arising from Directive 2009/38/EC. The employee information and consultation bodies established under such agreements have been concluded and continue to operate outside the scope of Union law. Directive 2009/38/EC does not provide the employees in the exempted undertakings with the possibility to request an establishment of a European Works Council under that Directive. However, for reasons of legal clarity, equal treatment and effectiveness, employees and their representatives in all Community-scale undertakings or Community-scale groups of undertakings should in principle have the right to request the establishment of a European Works Council. Almost 30 years after a legislative framework setting minimum requirements for the transnational information and consultation of employees was first established at Union level, those reasons prevail over the considerations of continuity for pre-existing agreements which initially motivated the exemption. That exemption should therefore be deleted. </w:t>
      </w:r>
      <w:r w:rsidR="004E2156" w:rsidRPr="001274D2">
        <w:rPr>
          <w:b/>
          <w:bCs/>
          <w:u w:val="single"/>
        </w:rPr>
        <w:t>The initiation and conduct of n</w:t>
      </w:r>
      <w:r w:rsidR="00D93E72" w:rsidRPr="001274D2">
        <w:rPr>
          <w:b/>
          <w:bCs/>
        </w:rPr>
        <w:t>egotiations</w:t>
      </w:r>
      <w:r w:rsidR="00EC259D" w:rsidRPr="001274D2">
        <w:rPr>
          <w:b/>
          <w:bCs/>
          <w:u w:val="single"/>
        </w:rPr>
        <w:t xml:space="preserve"> […]</w:t>
      </w:r>
      <w:r w:rsidR="00D93E72" w:rsidRPr="001274D2">
        <w:rPr>
          <w:b/>
          <w:bCs/>
        </w:rPr>
        <w:t xml:space="preserve"> </w:t>
      </w:r>
      <w:r w:rsidR="004E2156" w:rsidRPr="001274D2">
        <w:rPr>
          <w:b/>
          <w:bCs/>
        </w:rPr>
        <w:t xml:space="preserve">for the establishment of European Works Councils </w:t>
      </w:r>
      <w:r w:rsidR="004E2156" w:rsidRPr="001274D2">
        <w:rPr>
          <w:b/>
          <w:bCs/>
          <w:u w:val="single"/>
        </w:rPr>
        <w:t>in such undertakings should</w:t>
      </w:r>
      <w:r w:rsidR="004E2156" w:rsidRPr="001274D2">
        <w:rPr>
          <w:b/>
          <w:bCs/>
        </w:rPr>
        <w:t xml:space="preserve"> </w:t>
      </w:r>
      <w:r w:rsidR="00D93E72" w:rsidRPr="001274D2">
        <w:rPr>
          <w:b/>
          <w:bCs/>
        </w:rPr>
        <w:t xml:space="preserve">follow the procedure </w:t>
      </w:r>
      <w:r w:rsidR="004E2156" w:rsidRPr="001274D2">
        <w:rPr>
          <w:b/>
          <w:bCs/>
          <w:u w:val="single"/>
        </w:rPr>
        <w:t>[…]</w:t>
      </w:r>
      <w:r w:rsidR="00D93E72" w:rsidRPr="001274D2">
        <w:rPr>
          <w:b/>
          <w:bCs/>
        </w:rPr>
        <w:t xml:space="preserve">as set out in this Directive while the period after which the subsidiary requirements come into force </w:t>
      </w:r>
      <w:r w:rsidR="00E40149" w:rsidRPr="001274D2">
        <w:rPr>
          <w:b/>
          <w:bCs/>
          <w:u w:val="single"/>
        </w:rPr>
        <w:t>should be</w:t>
      </w:r>
      <w:r w:rsidR="00D93E72" w:rsidRPr="001274D2">
        <w:rPr>
          <w:b/>
          <w:bCs/>
          <w:u w:val="single"/>
        </w:rPr>
        <w:t xml:space="preserve"> </w:t>
      </w:r>
      <w:r w:rsidR="00D93E72" w:rsidRPr="001274D2">
        <w:rPr>
          <w:b/>
          <w:bCs/>
        </w:rPr>
        <w:t>reduced to two years instead of three</w:t>
      </w:r>
      <w:r w:rsidR="00E40149" w:rsidRPr="001274D2">
        <w:rPr>
          <w:b/>
          <w:bCs/>
        </w:rPr>
        <w:t xml:space="preserve">, </w:t>
      </w:r>
      <w:r w:rsidR="00E40149" w:rsidRPr="001274D2">
        <w:rPr>
          <w:b/>
          <w:bCs/>
          <w:u w:val="single"/>
        </w:rPr>
        <w:t xml:space="preserve">in line with the period applicable to </w:t>
      </w:r>
      <w:r w:rsidR="004C2B8D" w:rsidRPr="001274D2">
        <w:rPr>
          <w:b/>
          <w:bCs/>
          <w:u w:val="single"/>
        </w:rPr>
        <w:t xml:space="preserve">the adaptation of </w:t>
      </w:r>
      <w:r w:rsidR="00E40149" w:rsidRPr="001274D2">
        <w:rPr>
          <w:b/>
          <w:bCs/>
          <w:u w:val="single"/>
        </w:rPr>
        <w:t>existing European Works Council</w:t>
      </w:r>
      <w:r w:rsidR="004C2B8D" w:rsidRPr="001274D2">
        <w:rPr>
          <w:b/>
          <w:bCs/>
          <w:u w:val="single"/>
        </w:rPr>
        <w:t xml:space="preserve"> agreement</w:t>
      </w:r>
      <w:r w:rsidR="00E40149" w:rsidRPr="001274D2">
        <w:rPr>
          <w:b/>
          <w:bCs/>
          <w:u w:val="single"/>
        </w:rPr>
        <w:t>s</w:t>
      </w:r>
      <w:r w:rsidR="00D93E72" w:rsidRPr="001274D2">
        <w:rPr>
          <w:b/>
          <w:bCs/>
          <w:u w:val="single"/>
        </w:rPr>
        <w:t>.</w:t>
      </w:r>
    </w:p>
    <w:p w14:paraId="120647E2" w14:textId="6ED1D34D" w:rsidR="00D93E72" w:rsidRPr="001274D2" w:rsidRDefault="00094DF8" w:rsidP="00532678">
      <w:pPr>
        <w:pStyle w:val="PointManual"/>
      </w:pPr>
      <w:r w:rsidRPr="001274D2">
        <w:br w:type="page"/>
      </w:r>
      <w:r w:rsidR="00B613F1" w:rsidRPr="001274D2">
        <w:t>(20)</w:t>
      </w:r>
      <w:r w:rsidR="00B613F1" w:rsidRPr="001274D2">
        <w:tab/>
      </w:r>
      <w:r w:rsidR="00D93E72" w:rsidRPr="001274D2">
        <w:t>Moreover, for the same considerations, the same minimum requirements should apply to all Community-scale undertakings with European Works Councils operating under Directive 2009/38/EC and those in which a European Works Council agreement was signed or revised between 5 June 2009 and 5 June 2011. Therefore, the exemption of the latter undertakings from the application of Directive 2009/38/EC should also be deleted.</w:t>
      </w:r>
    </w:p>
    <w:p w14:paraId="5D7A57BD" w14:textId="3F1AF624" w:rsidR="00532678" w:rsidRPr="001274D2" w:rsidRDefault="00532678" w:rsidP="00B05C09">
      <w:pPr>
        <w:pStyle w:val="PointManual"/>
      </w:pPr>
      <w:r w:rsidRPr="001274D2">
        <w:rPr>
          <w:b/>
          <w:bCs/>
          <w:u w:val="single"/>
        </w:rPr>
        <w:t>(20a-new)</w:t>
      </w:r>
      <w:r w:rsidRPr="001274D2">
        <w:rPr>
          <w:b/>
          <w:bCs/>
          <w:u w:val="single"/>
        </w:rPr>
        <w:tab/>
        <w:t xml:space="preserve"> </w:t>
      </w:r>
      <w:r w:rsidR="00B05C09" w:rsidRPr="001274D2">
        <w:rPr>
          <w:b/>
          <w:bCs/>
          <w:u w:val="single"/>
        </w:rPr>
        <w:t>From the date of application of the transposition measures of this amending Directive the same minimum requirements should apply to all Community-scale undertakings with European Works Councils operating under Directive 2009/38/EC. However, in some cases, existing European Works Council agreements or agreements on information and consultation procedures, concluded under Directive 94/45/EC or Directive 2009/38/EC before the entry into force of the measures adopted by Member States to transpose this Directive, may not be in conformity with the revised requirements relating to the content of such agreements. It is therefore appropriate to set out transitional arrangements enabling the parties to such agreements to negotiate adaptations before the date of application of the transposition measures.</w:t>
      </w:r>
    </w:p>
    <w:p w14:paraId="1600607A" w14:textId="45D39A25" w:rsidR="00D93E72" w:rsidRPr="001274D2" w:rsidRDefault="00094DF8" w:rsidP="00094DF8">
      <w:pPr>
        <w:pStyle w:val="PointManual"/>
      </w:pPr>
      <w:r w:rsidRPr="001274D2">
        <w:t>(21)</w:t>
      </w:r>
      <w:r w:rsidRPr="001274D2">
        <w:tab/>
      </w:r>
      <w:r w:rsidR="00D93E72" w:rsidRPr="001274D2">
        <w:t>European Works Councils operating based on the subsidiary requirements set out in Annex 1 to Directive 2009/38/EC have the right to meet with central management once a year, to be informed and consulted on the progress of the business of the relevant Community-scale undertaking or Community-scale group of undertakings and its prospects. In order to strengthen the transnational information and consultation of those European Works Councils, it is appropriate to increase the number of such annual plenary meetings in the subsidiary requirements to two</w:t>
      </w:r>
      <w:r w:rsidR="00D93E72" w:rsidRPr="001274D2">
        <w:rPr>
          <w:b/>
          <w:bCs/>
        </w:rPr>
        <w:t>, of which at least one needs to be in person</w:t>
      </w:r>
      <w:r w:rsidR="00D93E72" w:rsidRPr="001274D2">
        <w:t>.</w:t>
      </w:r>
    </w:p>
    <w:p w14:paraId="2781E4B7" w14:textId="59D1FD77" w:rsidR="00D93E72" w:rsidRPr="001274D2" w:rsidRDefault="00094DF8" w:rsidP="00094DF8">
      <w:pPr>
        <w:pStyle w:val="PointManual"/>
      </w:pPr>
      <w:r w:rsidRPr="001274D2">
        <w:t>(22)</w:t>
      </w:r>
      <w:r w:rsidRPr="001274D2">
        <w:tab/>
      </w:r>
      <w:r w:rsidR="00D93E72" w:rsidRPr="001274D2">
        <w:t>In addition, certain technical changes should be made to the subsidiary requirements set out in Annex 1 to Directive 2009/38/EC, to ensure consistency with the enacting terms.</w:t>
      </w:r>
    </w:p>
    <w:p w14:paraId="6FCE7F5E" w14:textId="77777777" w:rsidR="00E10EBB" w:rsidRPr="001274D2" w:rsidRDefault="00E10EBB">
      <w:pPr>
        <w:spacing w:before="0" w:after="200" w:line="276" w:lineRule="auto"/>
      </w:pPr>
      <w:r w:rsidRPr="001274D2">
        <w:br w:type="page"/>
      </w:r>
    </w:p>
    <w:p w14:paraId="3D300364" w14:textId="02A42FE8" w:rsidR="00D93E72" w:rsidRPr="001274D2" w:rsidRDefault="00094DF8" w:rsidP="00094DF8">
      <w:pPr>
        <w:pStyle w:val="PointManual"/>
      </w:pPr>
      <w:r w:rsidRPr="001274D2">
        <w:t>(23)</w:t>
      </w:r>
      <w:r w:rsidRPr="001274D2">
        <w:tab/>
      </w:r>
      <w:r w:rsidR="00D93E72" w:rsidRPr="001274D2">
        <w:t>Therefore, it is appropriate to amend Directive 2009/38/EC to bring all eligible undertakings within its scope, clarify some of its key concepts, improve the transnational information and consultation process, and ensure effective redress and enforcement.</w:t>
      </w:r>
    </w:p>
    <w:p w14:paraId="7AF72C6D" w14:textId="23182F09" w:rsidR="00B05C09" w:rsidRPr="001274D2" w:rsidRDefault="00B05C09" w:rsidP="00094DF8">
      <w:pPr>
        <w:pStyle w:val="PointManual"/>
        <w:rPr>
          <w:b/>
          <w:bCs/>
          <w:u w:val="single"/>
        </w:rPr>
      </w:pPr>
      <w:r w:rsidRPr="001274D2">
        <w:rPr>
          <w:b/>
          <w:bCs/>
          <w:u w:val="single"/>
        </w:rPr>
        <w:t>[…]</w:t>
      </w:r>
      <w:r w:rsidR="00FA2E96" w:rsidRPr="001274D2">
        <w:rPr>
          <w:rStyle w:val="FootnoteReference"/>
          <w:b w:val="0"/>
          <w:bCs/>
          <w:u w:val="single"/>
        </w:rPr>
        <w:footnoteReference w:customMarkFollows="1" w:id="9"/>
        <w:t>*</w:t>
      </w:r>
    </w:p>
    <w:p w14:paraId="510B2EB7" w14:textId="5FF919CF" w:rsidR="00D93E72" w:rsidRPr="001274D2" w:rsidRDefault="00FA2E96" w:rsidP="00094DF8">
      <w:pPr>
        <w:pStyle w:val="PointManual"/>
      </w:pPr>
      <w:r w:rsidRPr="001274D2">
        <w:t>(25</w:t>
      </w:r>
      <w:r w:rsidR="00094DF8" w:rsidRPr="001274D2">
        <w:t>)</w:t>
      </w:r>
      <w:r w:rsidR="00094DF8" w:rsidRPr="001274D2">
        <w:tab/>
      </w:r>
      <w:r w:rsidR="00D93E72" w:rsidRPr="001274D2">
        <w:t>The overall objective of this Directive is to ensure the effectiveness of the requirements of Directive 2009/38/EC regarding the information and consultation of employees of Community-scale undertakings and Community-scale groups of undertakings. That objective cannot be sufficiently achieved by the Member States alone, but because of the inherently transnational nature and scale of these requirements, it can better be achieved at Union level. Therefore,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those objectives.</w:t>
      </w:r>
    </w:p>
    <w:p w14:paraId="350BF13B" w14:textId="3C3C1940" w:rsidR="00D93E72" w:rsidRPr="001274D2" w:rsidRDefault="00094DF8" w:rsidP="00094DF8">
      <w:pPr>
        <w:pStyle w:val="PointManual"/>
        <w:rPr>
          <w:szCs w:val="24"/>
        </w:rPr>
      </w:pPr>
      <w:r w:rsidRPr="001274D2">
        <w:rPr>
          <w:szCs w:val="24"/>
        </w:rPr>
        <w:t>(</w:t>
      </w:r>
      <w:r w:rsidR="00FA2E96" w:rsidRPr="001274D2">
        <w:rPr>
          <w:szCs w:val="24"/>
        </w:rPr>
        <w:t>26</w:t>
      </w:r>
      <w:r w:rsidRPr="001274D2">
        <w:rPr>
          <w:szCs w:val="24"/>
        </w:rPr>
        <w:t>)</w:t>
      </w:r>
      <w:r w:rsidRPr="001274D2">
        <w:rPr>
          <w:szCs w:val="24"/>
        </w:rPr>
        <w:tab/>
      </w:r>
      <w:r w:rsidR="00D93E72" w:rsidRPr="001274D2">
        <w:rPr>
          <w:szCs w:val="24"/>
        </w:rPr>
        <w:t xml:space="preserve">Pursuant to Article 27 of the United Nations Convention on the Rights of Persons with Disabilities, persons with disabilities are to be able to exercise their labour and trade union rights on an equal basis with others. As both the Union and its Member States are parties to that Convention, Directive 2009/38/EC and relevant national legislation are to be interpreted in </w:t>
      </w:r>
      <w:r w:rsidR="00D93E72" w:rsidRPr="001274D2">
        <w:t>accordance</w:t>
      </w:r>
      <w:r w:rsidR="00D93E72" w:rsidRPr="001274D2">
        <w:rPr>
          <w:szCs w:val="24"/>
        </w:rPr>
        <w:t xml:space="preserve"> with that principle, for instance in relation to accessibility and reasonable accommodation for members of special negotiating bodies, members of European Works Councils and employees’ representatives exercising their functions, as well as the bearing of related costs by central management.</w:t>
      </w:r>
    </w:p>
    <w:p w14:paraId="26323A9A" w14:textId="0CFE59EE" w:rsidR="00D93E72" w:rsidRPr="001274D2" w:rsidRDefault="00094DF8" w:rsidP="00094DF8">
      <w:pPr>
        <w:pStyle w:val="PointManual"/>
        <w:rPr>
          <w:szCs w:val="24"/>
        </w:rPr>
      </w:pPr>
      <w:r w:rsidRPr="001274D2">
        <w:rPr>
          <w:szCs w:val="24"/>
        </w:rPr>
        <w:br w:type="page"/>
        <w:t>(27)</w:t>
      </w:r>
      <w:r w:rsidRPr="001274D2">
        <w:rPr>
          <w:szCs w:val="24"/>
        </w:rPr>
        <w:tab/>
      </w:r>
      <w:r w:rsidR="00D93E72" w:rsidRPr="001274D2">
        <w:rPr>
          <w:szCs w:val="24"/>
        </w:rPr>
        <w:t xml:space="preserve">In accordance with </w:t>
      </w:r>
      <w:r w:rsidR="00D93E72" w:rsidRPr="001274D2">
        <w:rPr>
          <w:szCs w:val="24"/>
          <w:shd w:val="clear" w:color="auto" w:fill="FFFFFF"/>
        </w:rPr>
        <w:t xml:space="preserve">Article 30(3) and Article 42(1) of Directive 2014/23/EU of the European Parliament and </w:t>
      </w:r>
      <w:r w:rsidR="00D93E72" w:rsidRPr="001274D2">
        <w:rPr>
          <w:szCs w:val="24"/>
        </w:rPr>
        <w:t>of</w:t>
      </w:r>
      <w:r w:rsidR="00D93E72" w:rsidRPr="001274D2">
        <w:rPr>
          <w:szCs w:val="24"/>
          <w:shd w:val="clear" w:color="auto" w:fill="FFFFFF"/>
        </w:rPr>
        <w:t xml:space="preserve"> the Council</w:t>
      </w:r>
      <w:r w:rsidR="00D93E72" w:rsidRPr="007D5A79">
        <w:rPr>
          <w:rStyle w:val="FootnoteReference"/>
        </w:rPr>
        <w:footnoteReference w:id="10"/>
      </w:r>
      <w:r w:rsidR="00D93E72" w:rsidRPr="001274D2">
        <w:rPr>
          <w:szCs w:val="24"/>
          <w:shd w:val="clear" w:color="auto" w:fill="FFFFFF"/>
        </w:rPr>
        <w:t>, Article 18(2) and Article 71(1) of Directive 2014/24/EU of the European Parliament and of the Council</w:t>
      </w:r>
      <w:r w:rsidR="00D93E72" w:rsidRPr="007D5A79">
        <w:rPr>
          <w:rStyle w:val="FootnoteReference"/>
        </w:rPr>
        <w:footnoteReference w:id="11"/>
      </w:r>
      <w:r w:rsidR="00D93E72" w:rsidRPr="001274D2">
        <w:rPr>
          <w:szCs w:val="24"/>
          <w:shd w:val="clear" w:color="auto" w:fill="FFFFFF"/>
        </w:rPr>
        <w:t> and Article 36(2) and Article 88(1) of Directive 2014/25/EU of the European Parliament and of the Council</w:t>
      </w:r>
      <w:r w:rsidR="00D93E72" w:rsidRPr="007D5A79">
        <w:rPr>
          <w:rStyle w:val="FootnoteReference"/>
        </w:rPr>
        <w:footnoteReference w:id="12"/>
      </w:r>
      <w:r w:rsidR="00D93E72" w:rsidRPr="001274D2">
        <w:rPr>
          <w:szCs w:val="24"/>
          <w:shd w:val="clear" w:color="auto" w:fill="FFFFFF"/>
        </w:rPr>
        <w:t>, Member States are to take appropriate measures to ensure that in the performance of public contracts economic operators observe applicable obligations in the fields of social and labour law established by Union law</w:t>
      </w:r>
      <w:r w:rsidR="00D93E72" w:rsidRPr="001274D2">
        <w:rPr>
          <w:szCs w:val="24"/>
        </w:rPr>
        <w:t xml:space="preserve">. The effective implementation of the requirements under this Directive should be promoted through the integration, as appropriate, of social sustainability criteria in the award criteria designed by </w:t>
      </w:r>
      <w:r w:rsidR="00D93E72" w:rsidRPr="001274D2">
        <w:rPr>
          <w:szCs w:val="24"/>
          <w:shd w:val="clear" w:color="auto" w:fill="FFFFFF"/>
        </w:rPr>
        <w:t>contracting entities for identifying the most economically advantageous tenders</w:t>
      </w:r>
      <w:r w:rsidR="00D93E72" w:rsidRPr="001274D2">
        <w:rPr>
          <w:szCs w:val="24"/>
        </w:rPr>
        <w:t>. However, this Directive does not create any additional obligation in relation to those Directives.</w:t>
      </w:r>
    </w:p>
    <w:p w14:paraId="6FFEFB70" w14:textId="33703A34" w:rsidR="00D93E72" w:rsidRPr="001274D2" w:rsidRDefault="00094DF8" w:rsidP="00094DF8">
      <w:pPr>
        <w:pStyle w:val="PointManual"/>
      </w:pPr>
      <w:r w:rsidRPr="001274D2">
        <w:t>(28)</w:t>
      </w:r>
      <w:r w:rsidRPr="001274D2">
        <w:tab/>
      </w:r>
      <w:r w:rsidR="00D93E72" w:rsidRPr="001274D2">
        <w:t xml:space="preserve">In order to give employees’ representatives and the central management in Community-scale undertakings </w:t>
      </w:r>
      <w:r w:rsidR="00D93E72" w:rsidRPr="001274D2">
        <w:rPr>
          <w:szCs w:val="24"/>
        </w:rPr>
        <w:t>or</w:t>
      </w:r>
      <w:r w:rsidR="00D93E72" w:rsidRPr="001274D2">
        <w:t xml:space="preserve"> Community-scale groups of undertakings sufficient time to consider the revised minimum requirements and prepare for their application, it is appropriate to defer by two years the application of the provisions adopted by Member States to comply with this Directive,</w:t>
      </w:r>
    </w:p>
    <w:p w14:paraId="2400DB32" w14:textId="77777777" w:rsidR="00D93E72" w:rsidRPr="001274D2" w:rsidRDefault="00D93E72" w:rsidP="00D93E72">
      <w:pPr>
        <w:keepNext/>
        <w:spacing w:line="240" w:lineRule="auto"/>
        <w:jc w:val="both"/>
      </w:pPr>
      <w:r w:rsidRPr="001274D2">
        <w:t>HAVE ADOPTED THIS DIRECTIVE:</w:t>
      </w:r>
    </w:p>
    <w:p w14:paraId="4FE5C908" w14:textId="7375B29B" w:rsidR="00D93E72" w:rsidRPr="001274D2" w:rsidRDefault="00094DF8" w:rsidP="00B60049">
      <w:pPr>
        <w:jc w:val="center"/>
        <w:rPr>
          <w:i/>
          <w:iCs/>
        </w:rPr>
      </w:pPr>
      <w:r w:rsidRPr="001274D2">
        <w:br w:type="page"/>
      </w:r>
      <w:r w:rsidR="00D93E72" w:rsidRPr="001274D2">
        <w:rPr>
          <w:i/>
          <w:iCs/>
        </w:rPr>
        <w:t>Article 1</w:t>
      </w:r>
    </w:p>
    <w:p w14:paraId="3D5E16C4" w14:textId="77777777" w:rsidR="00D93E72" w:rsidRPr="001274D2" w:rsidRDefault="00D93E72" w:rsidP="00B60049">
      <w:r w:rsidRPr="001274D2">
        <w:t>Directive 2009/38/EC is amended as follows:</w:t>
      </w:r>
    </w:p>
    <w:p w14:paraId="5D9C3564" w14:textId="204A811B" w:rsidR="00D93E72" w:rsidRPr="001274D2" w:rsidRDefault="00B60049" w:rsidP="00B60049">
      <w:pPr>
        <w:pStyle w:val="PointManual"/>
      </w:pPr>
      <w:r w:rsidRPr="001274D2">
        <w:t>(1)</w:t>
      </w:r>
      <w:r w:rsidRPr="001274D2">
        <w:tab/>
      </w:r>
      <w:r w:rsidR="00D93E72" w:rsidRPr="001274D2">
        <w:t>in Article 1, paragraph 4 is replaced by the following:</w:t>
      </w:r>
    </w:p>
    <w:p w14:paraId="4CB93583" w14:textId="77777777" w:rsidR="00D93E72" w:rsidRPr="001274D2" w:rsidRDefault="00D93E72" w:rsidP="00B60049">
      <w:pPr>
        <w:ind w:left="567"/>
        <w:rPr>
          <w:b/>
          <w:bCs/>
          <w:szCs w:val="24"/>
        </w:rPr>
      </w:pPr>
      <w:r w:rsidRPr="001274D2">
        <w:t>“4.</w:t>
      </w:r>
      <w:r w:rsidRPr="001274D2">
        <w:tab/>
      </w:r>
      <w:r w:rsidRPr="001274D2">
        <w:rPr>
          <w:szCs w:val="24"/>
        </w:rPr>
        <w:t xml:space="preserve">Matters shall be considered to be transnational where </w:t>
      </w:r>
      <w:r w:rsidRPr="001274D2">
        <w:t>they can reasonably be expected to concern the Community-scale undertaking or Community-scale group of undertakings as a whole</w:t>
      </w:r>
      <w:r w:rsidRPr="001274D2">
        <w:rPr>
          <w:szCs w:val="24"/>
        </w:rPr>
        <w:t>, or at least two undertakings or establishments of the undertaking or group situated in two different Member States.</w:t>
      </w:r>
      <w:r w:rsidRPr="001274D2">
        <w:rPr>
          <w:b/>
          <w:bCs/>
          <w:szCs w:val="24"/>
        </w:rPr>
        <w:t xml:space="preserve"> </w:t>
      </w:r>
    </w:p>
    <w:p w14:paraId="7846C9EA" w14:textId="77777777" w:rsidR="00D93E72" w:rsidRPr="001274D2" w:rsidRDefault="00D93E72" w:rsidP="00B60049">
      <w:pPr>
        <w:ind w:left="567"/>
      </w:pPr>
      <w:r w:rsidRPr="001274D2">
        <w:rPr>
          <w:szCs w:val="24"/>
        </w:rPr>
        <w:t>Those</w:t>
      </w:r>
      <w:r w:rsidRPr="001274D2">
        <w:t xml:space="preserve"> conditions shall be deemed to be met where:</w:t>
      </w:r>
    </w:p>
    <w:p w14:paraId="4EBD025B" w14:textId="748E8BBD" w:rsidR="00D93E72" w:rsidRPr="001274D2" w:rsidRDefault="00D93E72" w:rsidP="00B60049">
      <w:pPr>
        <w:pStyle w:val="Pointabc2"/>
      </w:pPr>
      <w:r w:rsidRPr="001274D2">
        <w:t xml:space="preserve">the measures considered by management of the Community-scale undertaking or Community-scale group of undertakings can reasonably be expected to </w:t>
      </w:r>
      <w:r w:rsidR="005C18C7" w:rsidRPr="001274D2">
        <w:rPr>
          <w:b/>
          <w:bCs/>
          <w:u w:val="single"/>
        </w:rPr>
        <w:t>substantially</w:t>
      </w:r>
      <w:r w:rsidR="005C18C7" w:rsidRPr="001274D2">
        <w:t xml:space="preserve"> </w:t>
      </w:r>
      <w:r w:rsidRPr="001274D2">
        <w:t xml:space="preserve">affect </w:t>
      </w:r>
      <w:r w:rsidR="00E47D0A" w:rsidRPr="001274D2">
        <w:rPr>
          <w:b/>
          <w:bCs/>
          <w:u w:val="single"/>
        </w:rPr>
        <w:t>employee</w:t>
      </w:r>
      <w:r w:rsidRPr="001274D2">
        <w:t xml:space="preserve">s </w:t>
      </w:r>
      <w:r w:rsidR="00270073" w:rsidRPr="001274D2">
        <w:rPr>
          <w:b/>
          <w:bCs/>
          <w:u w:val="single"/>
        </w:rPr>
        <w:t>of that</w:t>
      </w:r>
      <w:r w:rsidR="00270073" w:rsidRPr="001274D2">
        <w:t xml:space="preserve"> </w:t>
      </w:r>
      <w:r w:rsidRPr="001274D2">
        <w:t>undertaking</w:t>
      </w:r>
      <w:r w:rsidR="00621B68" w:rsidRPr="001274D2">
        <w:rPr>
          <w:u w:val="single"/>
        </w:rPr>
        <w:t xml:space="preserve"> </w:t>
      </w:r>
      <w:r w:rsidR="00621B68" w:rsidRPr="001274D2">
        <w:rPr>
          <w:b/>
          <w:bCs/>
          <w:u w:val="single"/>
        </w:rPr>
        <w:t>or group</w:t>
      </w:r>
      <w:r w:rsidR="00621B68" w:rsidRPr="001274D2">
        <w:rPr>
          <w:u w:val="single"/>
        </w:rPr>
        <w:t>,</w:t>
      </w:r>
      <w:r w:rsidRPr="001274D2">
        <w:t xml:space="preserve"> or </w:t>
      </w:r>
      <w:r w:rsidR="00621B68" w:rsidRPr="001274D2">
        <w:rPr>
          <w:b/>
          <w:bCs/>
          <w:u w:val="single"/>
        </w:rPr>
        <w:t>its</w:t>
      </w:r>
      <w:r w:rsidR="00621B68" w:rsidRPr="001274D2">
        <w:t xml:space="preserve"> </w:t>
      </w:r>
      <w:r w:rsidRPr="001274D2">
        <w:t>establishments</w:t>
      </w:r>
      <w:r w:rsidR="00621B68" w:rsidRPr="001274D2">
        <w:rPr>
          <w:b/>
          <w:bCs/>
          <w:u w:val="single"/>
        </w:rPr>
        <w:t>,</w:t>
      </w:r>
      <w:r w:rsidRPr="001274D2">
        <w:t xml:space="preserve"> in more than one Member State;</w:t>
      </w:r>
    </w:p>
    <w:p w14:paraId="441029B6" w14:textId="05423E46" w:rsidR="00D93E72" w:rsidRPr="001274D2" w:rsidRDefault="00B60049" w:rsidP="00B60049">
      <w:pPr>
        <w:pStyle w:val="Pointabc2"/>
      </w:pPr>
      <w:r w:rsidRPr="001274D2">
        <w:t>t</w:t>
      </w:r>
      <w:r w:rsidR="00D93E72" w:rsidRPr="001274D2">
        <w:t xml:space="preserve">he measures considered by management of the Community-scale undertaking or Community-scale group of undertakings can reasonably be expected to </w:t>
      </w:r>
      <w:r w:rsidR="005C18C7" w:rsidRPr="001274D2">
        <w:rPr>
          <w:b/>
          <w:bCs/>
          <w:u w:val="single"/>
        </w:rPr>
        <w:t>substantially</w:t>
      </w:r>
      <w:r w:rsidR="005C18C7" w:rsidRPr="001274D2">
        <w:t xml:space="preserve"> </w:t>
      </w:r>
      <w:r w:rsidR="00D93E72" w:rsidRPr="001274D2">
        <w:t xml:space="preserve">affect </w:t>
      </w:r>
      <w:r w:rsidR="00E47D0A" w:rsidRPr="001274D2">
        <w:rPr>
          <w:b/>
          <w:bCs/>
          <w:u w:val="single"/>
        </w:rPr>
        <w:t>employee</w:t>
      </w:r>
      <w:r w:rsidR="00D93E72" w:rsidRPr="001274D2">
        <w:t xml:space="preserve">s </w:t>
      </w:r>
      <w:r w:rsidR="00322F22" w:rsidRPr="001274D2">
        <w:rPr>
          <w:b/>
          <w:bCs/>
          <w:u w:val="single"/>
        </w:rPr>
        <w:t>of that</w:t>
      </w:r>
      <w:r w:rsidR="00636440" w:rsidRPr="001274D2">
        <w:rPr>
          <w:b/>
          <w:bCs/>
          <w:u w:val="single"/>
        </w:rPr>
        <w:t xml:space="preserve"> […]</w:t>
      </w:r>
      <w:r w:rsidR="00D93E72" w:rsidRPr="001274D2">
        <w:t xml:space="preserve"> undertaking </w:t>
      </w:r>
      <w:r w:rsidR="00567812" w:rsidRPr="001274D2">
        <w:rPr>
          <w:b/>
          <w:bCs/>
          <w:u w:val="single"/>
        </w:rPr>
        <w:t>or group,</w:t>
      </w:r>
      <w:r w:rsidR="00567812" w:rsidRPr="001274D2">
        <w:t xml:space="preserve"> </w:t>
      </w:r>
      <w:r w:rsidR="00D93E72" w:rsidRPr="001274D2">
        <w:t xml:space="preserve">or </w:t>
      </w:r>
      <w:r w:rsidR="00567812" w:rsidRPr="001274D2">
        <w:rPr>
          <w:b/>
          <w:bCs/>
          <w:u w:val="single"/>
        </w:rPr>
        <w:t>its</w:t>
      </w:r>
      <w:r w:rsidR="00567812" w:rsidRPr="001274D2">
        <w:t xml:space="preserve"> </w:t>
      </w:r>
      <w:r w:rsidR="00D93E72" w:rsidRPr="001274D2">
        <w:t>establishment</w:t>
      </w:r>
      <w:r w:rsidR="00567812" w:rsidRPr="001274D2">
        <w:rPr>
          <w:b/>
          <w:bCs/>
          <w:u w:val="single"/>
        </w:rPr>
        <w:t>s</w:t>
      </w:r>
      <w:r w:rsidR="00181290" w:rsidRPr="001274D2">
        <w:rPr>
          <w:b/>
          <w:bCs/>
          <w:u w:val="single"/>
        </w:rPr>
        <w:t>,</w:t>
      </w:r>
      <w:r w:rsidR="00D93E72" w:rsidRPr="001274D2">
        <w:t xml:space="preserve"> in one Member State, and</w:t>
      </w:r>
      <w:r w:rsidR="00567812" w:rsidRPr="001274D2">
        <w:t xml:space="preserve"> </w:t>
      </w:r>
      <w:r w:rsidR="00567812" w:rsidRPr="001274D2">
        <w:rPr>
          <w:b/>
          <w:bCs/>
          <w:u w:val="single"/>
        </w:rPr>
        <w:t>their</w:t>
      </w:r>
      <w:r w:rsidR="00D93E72" w:rsidRPr="001274D2">
        <w:rPr>
          <w:b/>
          <w:bCs/>
          <w:u w:val="single"/>
        </w:rPr>
        <w:t xml:space="preserve"> </w:t>
      </w:r>
      <w:r w:rsidR="00E47D0A" w:rsidRPr="001274D2">
        <w:rPr>
          <w:b/>
          <w:bCs/>
          <w:u w:val="single"/>
        </w:rPr>
        <w:t>employees</w:t>
      </w:r>
      <w:r w:rsidR="00636440" w:rsidRPr="001274D2">
        <w:rPr>
          <w:b/>
          <w:bCs/>
          <w:u w:val="single"/>
        </w:rPr>
        <w:t xml:space="preserve"> </w:t>
      </w:r>
      <w:r w:rsidR="001C1891" w:rsidRPr="001274D2">
        <w:rPr>
          <w:b/>
          <w:bCs/>
          <w:u w:val="single"/>
        </w:rPr>
        <w:t>[…]</w:t>
      </w:r>
      <w:r w:rsidR="00D93E72" w:rsidRPr="001274D2">
        <w:t xml:space="preserve"> in another Member State can reasonably be expected to be </w:t>
      </w:r>
      <w:r w:rsidR="00514C16" w:rsidRPr="001274D2">
        <w:rPr>
          <w:b/>
          <w:bCs/>
          <w:u w:val="single"/>
        </w:rPr>
        <w:t>substantially</w:t>
      </w:r>
      <w:r w:rsidR="00514C16" w:rsidRPr="001274D2">
        <w:t xml:space="preserve"> </w:t>
      </w:r>
      <w:r w:rsidR="00D93E72" w:rsidRPr="001274D2">
        <w:t>affected by the consequences of those measures.”;</w:t>
      </w:r>
    </w:p>
    <w:p w14:paraId="3B1CFDFD" w14:textId="569B8BD2" w:rsidR="00D93E72" w:rsidRPr="001274D2" w:rsidRDefault="0074242E" w:rsidP="00ED122F">
      <w:pPr>
        <w:pStyle w:val="PointManual"/>
      </w:pPr>
      <w:r>
        <w:br w:type="page"/>
      </w:r>
      <w:r w:rsidR="00ED122F" w:rsidRPr="001274D2">
        <w:t>(2)</w:t>
      </w:r>
      <w:r w:rsidR="00ED122F" w:rsidRPr="001274D2">
        <w:tab/>
      </w:r>
      <w:r w:rsidR="00D93E72" w:rsidRPr="001274D2">
        <w:t>in Article 2(1), points (f) and (g) are replaced by the following:</w:t>
      </w:r>
    </w:p>
    <w:p w14:paraId="6248A8B4" w14:textId="77777777" w:rsidR="00D93E72" w:rsidRPr="001274D2" w:rsidRDefault="00D93E72" w:rsidP="00ED122F">
      <w:pPr>
        <w:ind w:left="567"/>
      </w:pPr>
      <w:r w:rsidRPr="001274D2">
        <w:t>“(f)</w:t>
      </w:r>
      <w:r w:rsidRPr="001274D2">
        <w:tab/>
        <w:t xml:space="preserve">‘information’ means transmission of data by the employer to the employees’ </w:t>
      </w:r>
      <w:r w:rsidRPr="001274D2">
        <w:rPr>
          <w:szCs w:val="24"/>
        </w:rPr>
        <w:t>representatives</w:t>
      </w:r>
      <w:r w:rsidRPr="001274D2">
        <w:t xml:space="preserve"> in order to enable them to acquaint themselves with the subject matter and to examine it;</w:t>
      </w:r>
    </w:p>
    <w:p w14:paraId="187CDA68" w14:textId="77777777" w:rsidR="00D93E72" w:rsidRPr="001274D2" w:rsidRDefault="00D93E72" w:rsidP="00ED122F">
      <w:pPr>
        <w:ind w:left="567"/>
      </w:pPr>
      <w:r w:rsidRPr="001274D2">
        <w:t>(g)</w:t>
      </w:r>
      <w:r w:rsidRPr="001274D2">
        <w:tab/>
        <w:t>‘</w:t>
      </w:r>
      <w:r w:rsidRPr="001274D2">
        <w:rPr>
          <w:szCs w:val="24"/>
        </w:rPr>
        <w:t>consultation’</w:t>
      </w:r>
      <w:r w:rsidRPr="001274D2">
        <w:t xml:space="preserve"> means the establishment of dialogue and exchange of views between employees’ representatives and central management or any more appropriate level of management;”;</w:t>
      </w:r>
    </w:p>
    <w:p w14:paraId="08D39988" w14:textId="284FCCA2" w:rsidR="00D93E72" w:rsidRPr="001274D2" w:rsidRDefault="00ED122F" w:rsidP="00ED122F">
      <w:pPr>
        <w:pStyle w:val="PointManual"/>
      </w:pPr>
      <w:r w:rsidRPr="001274D2">
        <w:t>(3)</w:t>
      </w:r>
      <w:r w:rsidRPr="001274D2">
        <w:tab/>
      </w:r>
      <w:r w:rsidR="00D93E72" w:rsidRPr="001274D2">
        <w:t>Article 5 is amended as follows:</w:t>
      </w:r>
    </w:p>
    <w:p w14:paraId="38B5B067" w14:textId="7F30FCF5" w:rsidR="00D93E72" w:rsidRPr="001274D2" w:rsidRDefault="000D0922" w:rsidP="000D0922">
      <w:pPr>
        <w:ind w:left="567"/>
      </w:pPr>
      <w:r w:rsidRPr="001274D2">
        <w:t>(a)</w:t>
      </w:r>
      <w:r w:rsidRPr="001274D2">
        <w:tab/>
      </w:r>
      <w:r w:rsidR="00D93E72" w:rsidRPr="001274D2">
        <w:t xml:space="preserve">in </w:t>
      </w:r>
      <w:r w:rsidR="00D93E72" w:rsidRPr="001274D2">
        <w:rPr>
          <w:szCs w:val="24"/>
        </w:rPr>
        <w:t>paragraph</w:t>
      </w:r>
      <w:r w:rsidR="00D93E72" w:rsidRPr="001274D2">
        <w:t xml:space="preserve"> 2, point (b) is replaced by the following:</w:t>
      </w:r>
    </w:p>
    <w:p w14:paraId="2D3D2986" w14:textId="77777777" w:rsidR="00D93E72" w:rsidRPr="001274D2" w:rsidRDefault="00D93E72" w:rsidP="000D0922">
      <w:pPr>
        <w:ind w:left="1134"/>
      </w:pPr>
      <w:r w:rsidRPr="001274D2">
        <w:t>“(b)</w:t>
      </w:r>
      <w:r w:rsidRPr="001274D2">
        <w:tab/>
        <w:t>The members of the special negotiating body shall be elected or appointed in proportion to the number of employees employed in each Member State by the Community-scale undertaking or the Community-scale group of undertakings, in a manner that strives to achieve a gender-balanced representation, by allocating in respect of each Member State one seat per portion of employees employed in that Member State, amounting to 10 %, or a fraction thereof, of the number of employees employed in all the Member States taken together;”;</w:t>
      </w:r>
    </w:p>
    <w:p w14:paraId="1E6EC5CF" w14:textId="3C578649" w:rsidR="00D93E72" w:rsidRPr="001274D2" w:rsidRDefault="000D0922" w:rsidP="000D0922">
      <w:pPr>
        <w:ind w:left="567"/>
      </w:pPr>
      <w:r w:rsidRPr="001274D2">
        <w:rPr>
          <w:szCs w:val="24"/>
        </w:rPr>
        <w:t>(b)</w:t>
      </w:r>
      <w:r w:rsidRPr="001274D2">
        <w:rPr>
          <w:szCs w:val="24"/>
        </w:rPr>
        <w:tab/>
      </w:r>
      <w:r w:rsidR="00D93E72" w:rsidRPr="001274D2">
        <w:rPr>
          <w:szCs w:val="24"/>
        </w:rPr>
        <w:t>paragraph</w:t>
      </w:r>
      <w:r w:rsidR="00D93E72" w:rsidRPr="001274D2">
        <w:t xml:space="preserve"> 6 is amended as follows:</w:t>
      </w:r>
    </w:p>
    <w:p w14:paraId="1AA75EA8" w14:textId="77777777" w:rsidR="00D93E72" w:rsidRPr="001274D2" w:rsidRDefault="00D93E72" w:rsidP="000D0922">
      <w:pPr>
        <w:pStyle w:val="Dash2"/>
      </w:pPr>
      <w:r w:rsidRPr="001274D2">
        <w:t>in the first subparagraph, the following sentences are added:</w:t>
      </w:r>
    </w:p>
    <w:p w14:paraId="21E71F4F" w14:textId="77777777" w:rsidR="00D93E72" w:rsidRPr="001274D2" w:rsidRDefault="00D93E72" w:rsidP="000D0922">
      <w:pPr>
        <w:spacing w:before="0"/>
        <w:ind w:left="1701"/>
      </w:pPr>
      <w:r w:rsidRPr="001274D2">
        <w:t xml:space="preserve">“These expenses shall include reasonable costs of experts, including for legal assistance, insofar as necessary for that purpose </w:t>
      </w:r>
      <w:r w:rsidRPr="001274D2">
        <w:rPr>
          <w:b/>
          <w:bCs/>
        </w:rPr>
        <w:t xml:space="preserve">[…]. </w:t>
      </w:r>
      <w:r w:rsidRPr="001274D2">
        <w:t>Expenses shall be notified to central management before they are incurred.”;</w:t>
      </w:r>
    </w:p>
    <w:p w14:paraId="3AA8F018" w14:textId="77777777" w:rsidR="00D93E72" w:rsidRPr="001274D2" w:rsidRDefault="00D93E72" w:rsidP="000D0922">
      <w:pPr>
        <w:pStyle w:val="Dash2"/>
      </w:pPr>
      <w:r w:rsidRPr="001274D2">
        <w:t>in the second subparagraph, the second sentence is deleted;</w:t>
      </w:r>
    </w:p>
    <w:p w14:paraId="7E0F8CC0" w14:textId="311D9AA7" w:rsidR="00D93E72" w:rsidRPr="001274D2" w:rsidRDefault="000D0922" w:rsidP="000D0922">
      <w:pPr>
        <w:pStyle w:val="PointManual"/>
      </w:pPr>
      <w:r w:rsidRPr="001274D2">
        <w:br w:type="page"/>
        <w:t>(4)</w:t>
      </w:r>
      <w:r w:rsidRPr="001274D2">
        <w:tab/>
      </w:r>
      <w:r w:rsidR="00D93E72" w:rsidRPr="001274D2">
        <w:t>Article 6 is amended as follows:</w:t>
      </w:r>
    </w:p>
    <w:p w14:paraId="35979F41" w14:textId="6C144E0B" w:rsidR="00D93E72" w:rsidRPr="001274D2" w:rsidRDefault="000D0922" w:rsidP="000D0922">
      <w:pPr>
        <w:ind w:left="567"/>
      </w:pPr>
      <w:r w:rsidRPr="001274D2">
        <w:rPr>
          <w:szCs w:val="24"/>
        </w:rPr>
        <w:t>(a)</w:t>
      </w:r>
      <w:r w:rsidRPr="001274D2">
        <w:rPr>
          <w:szCs w:val="24"/>
        </w:rPr>
        <w:tab/>
      </w:r>
      <w:r w:rsidR="00D93E72" w:rsidRPr="001274D2">
        <w:t>paragraph 2 is amended as follows:</w:t>
      </w:r>
    </w:p>
    <w:p w14:paraId="14C5640C" w14:textId="77777777" w:rsidR="00D93E72" w:rsidRPr="001274D2" w:rsidRDefault="00D93E72" w:rsidP="000D0922">
      <w:pPr>
        <w:pStyle w:val="Dash2"/>
      </w:pPr>
      <w:r w:rsidRPr="001274D2">
        <w:t>points (c) and (d) are replaced by the following:</w:t>
      </w:r>
    </w:p>
    <w:p w14:paraId="739BD542" w14:textId="77777777" w:rsidR="00D93E72" w:rsidRPr="001274D2" w:rsidRDefault="00D93E72" w:rsidP="000D0922">
      <w:pPr>
        <w:spacing w:before="0"/>
        <w:ind w:left="1701"/>
      </w:pPr>
      <w:r w:rsidRPr="001274D2">
        <w:t>“(c)</w:t>
      </w:r>
      <w:r w:rsidRPr="001274D2">
        <w:tab/>
        <w:t>the functions and the procedure for information and consultation of the European Works Council and the arrangements for linking information and consultation of the European Works Council and national employee representation bodies, in accordance with the principles and requirements set out in Article 1(3) and Article 9;</w:t>
      </w:r>
    </w:p>
    <w:p w14:paraId="3C5127F5" w14:textId="77777777" w:rsidR="00D93E72" w:rsidRPr="001274D2" w:rsidRDefault="00D93E72" w:rsidP="000D0922">
      <w:pPr>
        <w:spacing w:before="0"/>
        <w:ind w:left="1701"/>
      </w:pPr>
      <w:r w:rsidRPr="001274D2">
        <w:t>(d)</w:t>
      </w:r>
      <w:r w:rsidRPr="001274D2">
        <w:tab/>
        <w:t>the format, venue, frequency and duration of meetings of the European Works Council;”;</w:t>
      </w:r>
    </w:p>
    <w:p w14:paraId="1076B9E6" w14:textId="77777777" w:rsidR="00D93E72" w:rsidRPr="001274D2" w:rsidRDefault="00D93E72" w:rsidP="000D0922">
      <w:pPr>
        <w:pStyle w:val="Dash2"/>
      </w:pPr>
      <w:r w:rsidRPr="001274D2">
        <w:t>point (f) is replaced by the following:</w:t>
      </w:r>
    </w:p>
    <w:p w14:paraId="35C66281" w14:textId="77777777" w:rsidR="00D93E72" w:rsidRPr="001274D2" w:rsidRDefault="00D93E72" w:rsidP="000D0922">
      <w:pPr>
        <w:spacing w:before="0"/>
        <w:ind w:left="1701"/>
      </w:pPr>
      <w:r w:rsidRPr="001274D2">
        <w:t>“(f)</w:t>
      </w:r>
      <w:r w:rsidRPr="001274D2">
        <w:tab/>
        <w:t>the financial and material resources to be allocated to the European Works Council, including at least with respect to the following aspects:</w:t>
      </w:r>
    </w:p>
    <w:p w14:paraId="16BDC050" w14:textId="2C595961" w:rsidR="00D93E72" w:rsidRPr="001274D2" w:rsidRDefault="00D93E72" w:rsidP="000D0922">
      <w:pPr>
        <w:pStyle w:val="Dash3"/>
      </w:pPr>
      <w:r w:rsidRPr="001274D2">
        <w:t>the possible use of experts</w:t>
      </w:r>
      <w:r w:rsidR="00BB2642" w:rsidRPr="001274D2">
        <w:t xml:space="preserve">, </w:t>
      </w:r>
      <w:r w:rsidR="00BB2642" w:rsidRPr="001274D2">
        <w:rPr>
          <w:b/>
          <w:bCs/>
          <w:u w:val="single"/>
        </w:rPr>
        <w:t>including legal experts</w:t>
      </w:r>
      <w:r w:rsidR="000A466F" w:rsidRPr="001274D2">
        <w:t>,</w:t>
      </w:r>
      <w:r w:rsidRPr="001274D2">
        <w:t xml:space="preserve"> </w:t>
      </w:r>
      <w:r w:rsidRPr="001274D2">
        <w:rPr>
          <w:b/>
          <w:bCs/>
        </w:rPr>
        <w:t>[…]</w:t>
      </w:r>
      <w:r w:rsidRPr="001274D2">
        <w:t xml:space="preserve"> to assist the European Works Council in </w:t>
      </w:r>
      <w:r w:rsidR="000A466F" w:rsidRPr="001274D2">
        <w:rPr>
          <w:b/>
          <w:bCs/>
          <w:u w:val="single"/>
        </w:rPr>
        <w:t>relation to</w:t>
      </w:r>
      <w:r w:rsidR="000A466F" w:rsidRPr="001274D2">
        <w:t xml:space="preserve"> </w:t>
      </w:r>
      <w:r w:rsidRPr="001274D2">
        <w:t>the discharge of its functions;</w:t>
      </w:r>
    </w:p>
    <w:p w14:paraId="7163367D" w14:textId="77777777" w:rsidR="005C18C7" w:rsidRPr="001274D2" w:rsidRDefault="00FD4B5D" w:rsidP="000D0922">
      <w:pPr>
        <w:pStyle w:val="Dash3"/>
      </w:pPr>
      <w:r w:rsidRPr="001274D2">
        <w:rPr>
          <w:b/>
          <w:bCs/>
          <w:u w:val="single"/>
        </w:rPr>
        <w:t>[…]</w:t>
      </w:r>
    </w:p>
    <w:p w14:paraId="5181B272" w14:textId="316B031D" w:rsidR="00D93E72" w:rsidRPr="001274D2" w:rsidRDefault="00D93E72" w:rsidP="000D0922">
      <w:pPr>
        <w:pStyle w:val="Dash3"/>
      </w:pPr>
      <w:r w:rsidRPr="001274D2">
        <w:t>the provision of relevant training to the members of the European Works Council, without prejudice to the minimum requirement in Article 10(4), first subparagraph;”;</w:t>
      </w:r>
    </w:p>
    <w:p w14:paraId="77A7B067" w14:textId="4631664B" w:rsidR="00D93E72" w:rsidRPr="001274D2" w:rsidRDefault="00D93E72" w:rsidP="000D0922">
      <w:pPr>
        <w:spacing w:before="0"/>
        <w:ind w:left="1701"/>
        <w:rPr>
          <w:b/>
          <w:bCs/>
        </w:rPr>
      </w:pPr>
      <w:r w:rsidRPr="001274D2">
        <w:rPr>
          <w:b/>
          <w:bCs/>
        </w:rPr>
        <w:t>[…]</w:t>
      </w:r>
    </w:p>
    <w:p w14:paraId="77275C52" w14:textId="04675993" w:rsidR="00D93E72" w:rsidRPr="001274D2" w:rsidRDefault="000D0922" w:rsidP="000D0922">
      <w:pPr>
        <w:ind w:left="567"/>
      </w:pPr>
      <w:r w:rsidRPr="001274D2">
        <w:br w:type="page"/>
        <w:t>(b)</w:t>
      </w:r>
      <w:r w:rsidRPr="001274D2">
        <w:tab/>
      </w:r>
      <w:r w:rsidR="00D93E72" w:rsidRPr="001274D2">
        <w:t>the following paragraph 2a is inserted:</w:t>
      </w:r>
    </w:p>
    <w:p w14:paraId="3C0DAE33" w14:textId="2D4A9192" w:rsidR="00D93E72" w:rsidRPr="001274D2" w:rsidRDefault="00D93E72" w:rsidP="000D0922">
      <w:pPr>
        <w:pStyle w:val="Text1"/>
        <w:ind w:left="1134"/>
      </w:pPr>
      <w:r w:rsidRPr="001274D2">
        <w:t>“2a.</w:t>
      </w:r>
      <w:r w:rsidRPr="001274D2">
        <w:tab/>
        <w:t>The central management and the special negotiating body, when negotiating or renegotiating a European Works Council agreement, shall agree and lay down the necessary arrangements for attaining, as far as possible, and without prejudice to national laws on electing</w:t>
      </w:r>
      <w:r w:rsidRPr="001274D2">
        <w:rPr>
          <w:b/>
          <w:bCs/>
        </w:rPr>
        <w:t xml:space="preserve"> </w:t>
      </w:r>
      <w:r w:rsidR="00E47D0A" w:rsidRPr="001274D2">
        <w:rPr>
          <w:b/>
          <w:bCs/>
          <w:u w:val="single"/>
        </w:rPr>
        <w:t>employees</w:t>
      </w:r>
      <w:r w:rsidR="007B1406" w:rsidRPr="001274D2">
        <w:t>’</w:t>
      </w:r>
      <w:r w:rsidRPr="001274D2">
        <w:t xml:space="preserve"> representatives, the objective of gender balance whereby women and men each comprise at least 40 % of European Works Council members, and where applicable, at least 40 % of select committee members.”;</w:t>
      </w:r>
    </w:p>
    <w:p w14:paraId="73E0B078" w14:textId="4C0C3D3D" w:rsidR="00D93E72" w:rsidRPr="001274D2" w:rsidRDefault="00196554" w:rsidP="00196554">
      <w:pPr>
        <w:pStyle w:val="PointManual"/>
      </w:pPr>
      <w:r w:rsidRPr="001274D2">
        <w:t>(5)</w:t>
      </w:r>
      <w:r w:rsidRPr="001274D2">
        <w:tab/>
      </w:r>
      <w:r w:rsidR="00D93E72" w:rsidRPr="001274D2">
        <w:t>in Article 7(1), the second indent is replaced by the following:</w:t>
      </w:r>
    </w:p>
    <w:p w14:paraId="0DDED28C" w14:textId="77777777" w:rsidR="00D93E72" w:rsidRPr="001274D2" w:rsidRDefault="00D93E72" w:rsidP="00196554">
      <w:pPr>
        <w:ind w:left="567"/>
      </w:pPr>
      <w:r w:rsidRPr="001274D2">
        <w:t>“—</w:t>
      </w:r>
      <w:r w:rsidRPr="001274D2">
        <w:tab/>
        <w:t xml:space="preserve">where the first meeting of the special negotiating body is not convened </w:t>
      </w:r>
      <w:r w:rsidRPr="001274D2">
        <w:rPr>
          <w:b/>
          <w:bCs/>
        </w:rPr>
        <w:t xml:space="preserve">by the central management </w:t>
      </w:r>
      <w:r w:rsidRPr="001274D2">
        <w:t>within six months following a request pursuant to Article 5(1),”;</w:t>
      </w:r>
    </w:p>
    <w:p w14:paraId="38400E84" w14:textId="68156E02" w:rsidR="00D93E72" w:rsidRPr="001274D2" w:rsidRDefault="00196554" w:rsidP="00196554">
      <w:pPr>
        <w:pStyle w:val="PointManual"/>
      </w:pPr>
      <w:r w:rsidRPr="001274D2">
        <w:t>(6)</w:t>
      </w:r>
      <w:r w:rsidRPr="001274D2">
        <w:tab/>
      </w:r>
      <w:r w:rsidR="00D93E72" w:rsidRPr="001274D2">
        <w:t>Article 8 is replaced by the following:</w:t>
      </w:r>
    </w:p>
    <w:p w14:paraId="0C79A6A3" w14:textId="77777777" w:rsidR="00D93E72" w:rsidRPr="001274D2" w:rsidRDefault="00D93E72" w:rsidP="00B60049">
      <w:pPr>
        <w:jc w:val="center"/>
        <w:rPr>
          <w:i/>
          <w:iCs/>
        </w:rPr>
      </w:pPr>
      <w:r w:rsidRPr="001274D2">
        <w:rPr>
          <w:i/>
          <w:iCs/>
        </w:rPr>
        <w:t>“Article 8</w:t>
      </w:r>
      <w:r w:rsidRPr="001274D2">
        <w:rPr>
          <w:i/>
          <w:iCs/>
        </w:rPr>
        <w:br/>
      </w:r>
      <w:r w:rsidRPr="001274D2">
        <w:t>Provision of information in confidence</w:t>
      </w:r>
    </w:p>
    <w:p w14:paraId="31FA7609" w14:textId="34D2DD05" w:rsidR="00D93E72" w:rsidRPr="001274D2" w:rsidRDefault="00D93E72" w:rsidP="00196554">
      <w:pPr>
        <w:pStyle w:val="PointManual1"/>
      </w:pPr>
      <w:r w:rsidRPr="001274D2">
        <w:t>1.</w:t>
      </w:r>
      <w:r w:rsidRPr="001274D2">
        <w:tab/>
        <w:t xml:space="preserve">Member States shall provide that members of special negotiating bodies, members of European Works Councils or employees’ representatives in the framework of an information and consultation procedure, and any experts who assist them, are not authorised to reveal </w:t>
      </w:r>
      <w:bookmarkStart w:id="6" w:name="_Hlk155687626"/>
      <w:r w:rsidRPr="001274D2">
        <w:t>information</w:t>
      </w:r>
      <w:r w:rsidR="002111CF" w:rsidRPr="001274D2">
        <w:rPr>
          <w:b/>
          <w:bCs/>
        </w:rPr>
        <w:t xml:space="preserve"> </w:t>
      </w:r>
      <w:r w:rsidRPr="001274D2">
        <w:t xml:space="preserve">which has expressly </w:t>
      </w:r>
      <w:r w:rsidRPr="001274D2" w:rsidDel="00EB1E0E">
        <w:t xml:space="preserve">been </w:t>
      </w:r>
      <w:r w:rsidRPr="001274D2">
        <w:t>provided to them in confidence by central management</w:t>
      </w:r>
      <w:bookmarkEnd w:id="6"/>
      <w:r w:rsidRPr="001274D2">
        <w:t xml:space="preserve">. In addition, central management may set up </w:t>
      </w:r>
      <w:r w:rsidRPr="001274D2">
        <w:rPr>
          <w:b/>
          <w:bCs/>
        </w:rPr>
        <w:t xml:space="preserve">[…] appropriate </w:t>
      </w:r>
      <w:r w:rsidRPr="001274D2">
        <w:t>information transmission and storage arrangements to help safeguard the confidentiality of information provided in confidence</w:t>
      </w:r>
      <w:r w:rsidR="00D57E1A" w:rsidRPr="001274D2">
        <w:t xml:space="preserve"> </w:t>
      </w:r>
      <w:r w:rsidR="00FE6D43" w:rsidRPr="001274D2">
        <w:rPr>
          <w:b/>
          <w:bCs/>
          <w:u w:val="single"/>
        </w:rPr>
        <w:t>[…]</w:t>
      </w:r>
      <w:r w:rsidRPr="001274D2">
        <w:t>.</w:t>
      </w:r>
    </w:p>
    <w:p w14:paraId="708F014C" w14:textId="186A386C" w:rsidR="00D93E72" w:rsidRPr="001274D2" w:rsidRDefault="00D93E72" w:rsidP="00196554">
      <w:pPr>
        <w:pStyle w:val="PointManual1"/>
      </w:pPr>
      <w:r w:rsidRPr="001274D2">
        <w:t>2.</w:t>
      </w:r>
      <w:r w:rsidRPr="001274D2">
        <w:tab/>
        <w:t>When central management provides information in confidence in accordance with paragraph 1, it shall inform the members of the special negotiating bodies or the European Works Councils, or the employees’ representatives in the framework of an information and consultation procedure of the reasons justifying the provision of information in confidence.</w:t>
      </w:r>
    </w:p>
    <w:p w14:paraId="3931AC22" w14:textId="13885038" w:rsidR="00D93E72" w:rsidRPr="001274D2" w:rsidRDefault="00196554" w:rsidP="00196554">
      <w:pPr>
        <w:pStyle w:val="PointManual1"/>
      </w:pPr>
      <w:r w:rsidRPr="001274D2">
        <w:br w:type="page"/>
      </w:r>
      <w:r w:rsidR="00D93E72" w:rsidRPr="001274D2">
        <w:t>3.</w:t>
      </w:r>
      <w:r w:rsidR="00D93E72" w:rsidRPr="001274D2">
        <w:tab/>
        <w:t>The obligation referred in paragraph 1 shall continue to apply, wherever the persons referred to in paragraph 1 are, even after the expiry of their terms of office, until</w:t>
      </w:r>
      <w:r w:rsidR="005E500B" w:rsidRPr="001274D2">
        <w:t xml:space="preserve"> </w:t>
      </w:r>
      <w:r w:rsidR="005E500B" w:rsidRPr="001274D2">
        <w:rPr>
          <w:b/>
          <w:bCs/>
          <w:u w:val="single"/>
        </w:rPr>
        <w:t>it has been agreed with</w:t>
      </w:r>
      <w:r w:rsidR="005E500B" w:rsidRPr="001274D2">
        <w:rPr>
          <w:b/>
          <w:bCs/>
        </w:rPr>
        <w:t xml:space="preserve"> </w:t>
      </w:r>
      <w:r w:rsidR="00D93E72" w:rsidRPr="001274D2">
        <w:t>central management</w:t>
      </w:r>
      <w:r w:rsidR="005E500B" w:rsidRPr="001274D2">
        <w:t xml:space="preserve"> </w:t>
      </w:r>
      <w:r w:rsidR="005E500B" w:rsidRPr="001274D2">
        <w:rPr>
          <w:b/>
          <w:bCs/>
          <w:u w:val="single"/>
        </w:rPr>
        <w:t>that</w:t>
      </w:r>
      <w:r w:rsidR="00D93E72" w:rsidRPr="001274D2">
        <w:t xml:space="preserve"> the justification provided </w:t>
      </w:r>
      <w:r w:rsidR="00FE6D43" w:rsidRPr="001274D2">
        <w:rPr>
          <w:b/>
          <w:bCs/>
          <w:u w:val="single"/>
        </w:rPr>
        <w:t>[…]</w:t>
      </w:r>
      <w:r w:rsidR="00D57E1A" w:rsidRPr="001274D2">
        <w:rPr>
          <w:u w:val="single"/>
        </w:rPr>
        <w:t xml:space="preserve"> </w:t>
      </w:r>
      <w:r w:rsidR="005E500B" w:rsidRPr="001274D2">
        <w:rPr>
          <w:b/>
          <w:bCs/>
          <w:u w:val="single"/>
        </w:rPr>
        <w:t xml:space="preserve">has </w:t>
      </w:r>
      <w:r w:rsidR="00D93E72" w:rsidRPr="001274D2">
        <w:t>become obsolete.”;</w:t>
      </w:r>
    </w:p>
    <w:p w14:paraId="41A56101" w14:textId="3E034B58" w:rsidR="00D93E72" w:rsidRPr="001274D2" w:rsidRDefault="00196554" w:rsidP="00196554">
      <w:pPr>
        <w:pStyle w:val="PointManual"/>
      </w:pPr>
      <w:r w:rsidRPr="001274D2">
        <w:t>(7)</w:t>
      </w:r>
      <w:r w:rsidRPr="001274D2">
        <w:tab/>
      </w:r>
      <w:r w:rsidR="00D93E72" w:rsidRPr="001274D2">
        <w:t>the following Article 8a is inserted:</w:t>
      </w:r>
    </w:p>
    <w:p w14:paraId="0087363D" w14:textId="77777777" w:rsidR="00D93E72" w:rsidRPr="001274D2" w:rsidRDefault="00D93E72" w:rsidP="00B60049">
      <w:pPr>
        <w:jc w:val="center"/>
      </w:pPr>
      <w:r w:rsidRPr="001274D2">
        <w:t>“</w:t>
      </w:r>
      <w:r w:rsidRPr="001274D2">
        <w:rPr>
          <w:i/>
          <w:iCs/>
        </w:rPr>
        <w:t>Article 8a</w:t>
      </w:r>
      <w:r w:rsidRPr="001274D2">
        <w:br/>
        <w:t>Non-transmission of information on specific grounds</w:t>
      </w:r>
    </w:p>
    <w:p w14:paraId="5E387197" w14:textId="1F6E4D15" w:rsidR="00D93E72" w:rsidRPr="001274D2" w:rsidRDefault="00D93E72" w:rsidP="00196554">
      <w:pPr>
        <w:pStyle w:val="PointManual1"/>
      </w:pPr>
      <w:r w:rsidRPr="001274D2">
        <w:t>1.</w:t>
      </w:r>
      <w:r w:rsidRPr="001274D2">
        <w:tab/>
        <w:t>Member States shall provide, in specific cases and under the conditions and limits laid down by national legislation, that the central management situated in its territory is not obliged to transmit information to members of special negotiating bodies or European Works Councils, or employees’ representatives in the framework of an information and consultation procedure, and any experts who assist them, when its nature is such that, according to objective criteria, it would seriously harm the functioning of the undertakings concerned.</w:t>
      </w:r>
    </w:p>
    <w:p w14:paraId="366A86DF" w14:textId="658FD77F" w:rsidR="00D93E72" w:rsidRPr="001274D2" w:rsidRDefault="00D93E72" w:rsidP="00196554">
      <w:pPr>
        <w:pStyle w:val="PointManual1"/>
        <w:ind w:firstLine="0"/>
      </w:pPr>
      <w:r w:rsidRPr="001274D2">
        <w:t>A Member State may make such dispensation subject to prior administrative or judicial authorisation.</w:t>
      </w:r>
    </w:p>
    <w:p w14:paraId="2FC4F639" w14:textId="77777777" w:rsidR="00D93E72" w:rsidRPr="001274D2" w:rsidRDefault="00D93E72" w:rsidP="00196554">
      <w:pPr>
        <w:pStyle w:val="PointManual1"/>
      </w:pPr>
      <w:r w:rsidRPr="001274D2">
        <w:t>2.</w:t>
      </w:r>
      <w:r w:rsidRPr="001274D2">
        <w:tab/>
        <w:t>When central management does not transmit information on the grounds referred to in paragraph 1, it shall inform the members of the special negotiating bodies or the European Works Councils, or the employees’ representatives in the framework of an information and consultation procedure of the reasons justifying the non-transmission of information.</w:t>
      </w:r>
    </w:p>
    <w:p w14:paraId="3226C10C" w14:textId="13B3CD23" w:rsidR="00D93E72" w:rsidRPr="001274D2" w:rsidRDefault="00D93E72" w:rsidP="00196554">
      <w:pPr>
        <w:pStyle w:val="PointManual1"/>
        <w:rPr>
          <w:color w:val="000000"/>
          <w:sz w:val="23"/>
          <w:szCs w:val="23"/>
          <w:lang w:val="en-US"/>
        </w:rPr>
      </w:pPr>
      <w:r w:rsidRPr="001274D2">
        <w:rPr>
          <w:b/>
          <w:bCs/>
          <w:color w:val="000000"/>
          <w:sz w:val="23"/>
          <w:szCs w:val="23"/>
          <w:lang w:val="en-US"/>
        </w:rPr>
        <w:t>3.</w:t>
      </w:r>
      <w:r w:rsidRPr="001274D2">
        <w:rPr>
          <w:b/>
          <w:bCs/>
          <w:color w:val="000000"/>
          <w:sz w:val="23"/>
          <w:szCs w:val="23"/>
          <w:lang w:val="en-US"/>
        </w:rPr>
        <w:tab/>
        <w:t xml:space="preserve">The </w:t>
      </w:r>
      <w:r w:rsidRPr="001274D2">
        <w:rPr>
          <w:b/>
          <w:bCs/>
        </w:rPr>
        <w:t>dispensation</w:t>
      </w:r>
      <w:r w:rsidRPr="001274D2">
        <w:rPr>
          <w:b/>
          <w:bCs/>
          <w:color w:val="000000"/>
          <w:sz w:val="23"/>
          <w:szCs w:val="23"/>
          <w:lang w:val="en-US"/>
        </w:rPr>
        <w:t xml:space="preserve"> according to paragraph 1 from transmitting information shall continue to apply until</w:t>
      </w:r>
      <w:r w:rsidR="005E500B" w:rsidRPr="001274D2">
        <w:rPr>
          <w:b/>
          <w:bCs/>
          <w:color w:val="000000"/>
          <w:sz w:val="23"/>
          <w:szCs w:val="23"/>
          <w:lang w:val="en-US"/>
        </w:rPr>
        <w:t xml:space="preserve"> </w:t>
      </w:r>
      <w:r w:rsidR="005E500B" w:rsidRPr="001274D2">
        <w:rPr>
          <w:b/>
          <w:bCs/>
          <w:color w:val="000000"/>
          <w:sz w:val="23"/>
          <w:szCs w:val="23"/>
          <w:u w:val="single"/>
          <w:lang w:val="en-US"/>
        </w:rPr>
        <w:t>[…]</w:t>
      </w:r>
      <w:r w:rsidR="00D57E1A" w:rsidRPr="001274D2">
        <w:rPr>
          <w:b/>
          <w:bCs/>
          <w:color w:val="000000"/>
          <w:sz w:val="23"/>
          <w:szCs w:val="23"/>
          <w:lang w:val="en-US"/>
        </w:rPr>
        <w:t xml:space="preserve"> </w:t>
      </w:r>
      <w:r w:rsidRPr="001274D2">
        <w:rPr>
          <w:b/>
          <w:bCs/>
          <w:color w:val="000000"/>
          <w:sz w:val="23"/>
          <w:szCs w:val="23"/>
          <w:lang w:val="en-US"/>
        </w:rPr>
        <w:t>the justification provided</w:t>
      </w:r>
      <w:r w:rsidR="005E500B" w:rsidRPr="001274D2">
        <w:rPr>
          <w:b/>
          <w:bCs/>
          <w:color w:val="000000"/>
          <w:sz w:val="23"/>
          <w:szCs w:val="23"/>
          <w:lang w:val="en-US"/>
        </w:rPr>
        <w:t xml:space="preserve"> has</w:t>
      </w:r>
      <w:r w:rsidR="00D57E1A" w:rsidRPr="001274D2">
        <w:rPr>
          <w:b/>
          <w:bCs/>
          <w:color w:val="000000"/>
          <w:sz w:val="23"/>
          <w:szCs w:val="23"/>
          <w:lang w:val="en-US"/>
        </w:rPr>
        <w:t xml:space="preserve"> </w:t>
      </w:r>
      <w:r w:rsidR="00D57E1A" w:rsidRPr="001274D2">
        <w:rPr>
          <w:b/>
          <w:bCs/>
          <w:color w:val="000000"/>
          <w:sz w:val="23"/>
          <w:szCs w:val="23"/>
          <w:u w:val="single"/>
          <w:lang w:val="en-US"/>
        </w:rPr>
        <w:t>[…]</w:t>
      </w:r>
      <w:r w:rsidRPr="001274D2">
        <w:rPr>
          <w:b/>
          <w:bCs/>
          <w:color w:val="000000"/>
          <w:sz w:val="23"/>
          <w:szCs w:val="23"/>
          <w:lang w:val="en-US"/>
        </w:rPr>
        <w:t xml:space="preserve"> become obsolete.</w:t>
      </w:r>
      <w:r w:rsidRPr="001274D2">
        <w:rPr>
          <w:color w:val="000000"/>
          <w:szCs w:val="24"/>
          <w:lang w:val="en-US"/>
        </w:rPr>
        <w:t>”;</w:t>
      </w:r>
    </w:p>
    <w:p w14:paraId="13C8C91F" w14:textId="7075DC5A" w:rsidR="00D93E72" w:rsidRPr="001274D2" w:rsidRDefault="00196554" w:rsidP="00196554">
      <w:pPr>
        <w:pStyle w:val="PointManual"/>
      </w:pPr>
      <w:r w:rsidRPr="001274D2">
        <w:br w:type="page"/>
        <w:t>(8)</w:t>
      </w:r>
      <w:r w:rsidRPr="001274D2">
        <w:tab/>
      </w:r>
      <w:r w:rsidR="00D93E72" w:rsidRPr="001274D2">
        <w:t>Articles 9 and 10 are replaced by the following:</w:t>
      </w:r>
    </w:p>
    <w:p w14:paraId="18D862FC" w14:textId="45BC9E37" w:rsidR="00D93E72" w:rsidRPr="001274D2" w:rsidRDefault="00D93E72" w:rsidP="00B60049">
      <w:pPr>
        <w:jc w:val="center"/>
      </w:pPr>
      <w:r w:rsidRPr="001274D2">
        <w:t>“</w:t>
      </w:r>
      <w:r w:rsidRPr="001274D2">
        <w:rPr>
          <w:i/>
          <w:iCs/>
        </w:rPr>
        <w:t>Article 9</w:t>
      </w:r>
      <w:r w:rsidRPr="001274D2">
        <w:br/>
        <w:t xml:space="preserve">Operation of the European Works Council and the information and consultation procedure for </w:t>
      </w:r>
      <w:r w:rsidR="00E47D0A" w:rsidRPr="001274D2">
        <w:rPr>
          <w:b/>
          <w:bCs/>
          <w:u w:val="single"/>
        </w:rPr>
        <w:t>employees</w:t>
      </w:r>
    </w:p>
    <w:p w14:paraId="405A2448" w14:textId="77777777" w:rsidR="00D93E72" w:rsidRPr="001274D2" w:rsidRDefault="00D93E72" w:rsidP="00196554">
      <w:pPr>
        <w:pStyle w:val="PointManual1"/>
      </w:pPr>
      <w:r w:rsidRPr="001274D2">
        <w:t>1.</w:t>
      </w:r>
      <w:r w:rsidRPr="001274D2">
        <w:tab/>
        <w:t>The central management and the European Works Council shall work in a spirit of cooperation with due regard to their reciprocal rights and obligations.</w:t>
      </w:r>
    </w:p>
    <w:p w14:paraId="5D2EA39D" w14:textId="376998EA" w:rsidR="00D93E72" w:rsidRPr="001274D2" w:rsidRDefault="00D93E72" w:rsidP="00196554">
      <w:pPr>
        <w:pStyle w:val="PointManual1"/>
        <w:ind w:firstLine="0"/>
      </w:pPr>
      <w:r w:rsidRPr="001274D2">
        <w:t xml:space="preserve">The same shall apply to cooperation between the central management and employees’ representatives in the framework of an information and consultation procedure for </w:t>
      </w:r>
      <w:r w:rsidR="00E47D0A" w:rsidRPr="001274D2">
        <w:rPr>
          <w:b/>
          <w:bCs/>
          <w:u w:val="single"/>
        </w:rPr>
        <w:t>employees</w:t>
      </w:r>
      <w:r w:rsidRPr="001274D2">
        <w:t>.</w:t>
      </w:r>
    </w:p>
    <w:p w14:paraId="6147A67C" w14:textId="77777777" w:rsidR="00D93E72" w:rsidRPr="001274D2" w:rsidRDefault="00D93E72" w:rsidP="00196554">
      <w:pPr>
        <w:pStyle w:val="PointManual1"/>
      </w:pPr>
      <w:r w:rsidRPr="001274D2">
        <w:t>2.</w:t>
      </w:r>
      <w:r w:rsidRPr="001274D2">
        <w:tab/>
        <w:t>Information on transnational matters shall be given at such time, in such fashion and with such content as are appropriate to enable employees’ representatives to undertake an in-depth assessment of their possible impact and, where appropriate, prepare for consultations with the competent organ of the Community-scale undertaking or Community-scale group of undertakings.</w:t>
      </w:r>
    </w:p>
    <w:p w14:paraId="14CAC4D5" w14:textId="7D4BA4D2" w:rsidR="00D93E72" w:rsidRPr="001274D2" w:rsidRDefault="00D93E72" w:rsidP="00196554">
      <w:pPr>
        <w:pStyle w:val="PointManual1"/>
      </w:pPr>
      <w:r w:rsidRPr="001274D2">
        <w:t>3.</w:t>
      </w:r>
      <w:r w:rsidRPr="001274D2">
        <w:tab/>
        <w:t>Consultation shall take place at such time, in such fashion and with such content as it enables employees’ representatives to express an opinion prior to the adoption of the decision and based on the information provided in accordance with paragraph 2, without prejudice to the responsibilities of the management, and within a reasonable time</w:t>
      </w:r>
      <w:r w:rsidR="00A32AFF" w:rsidRPr="001274D2">
        <w:rPr>
          <w:b/>
          <w:bCs/>
          <w:u w:val="single"/>
        </w:rPr>
        <w:t>,</w:t>
      </w:r>
      <w:r w:rsidR="00A32AFF" w:rsidRPr="001274D2">
        <w:t xml:space="preserve"> </w:t>
      </w:r>
      <w:r w:rsidRPr="001274D2">
        <w:t xml:space="preserve">taking into account the </w:t>
      </w:r>
      <w:r w:rsidR="00143D53" w:rsidRPr="001274D2">
        <w:rPr>
          <w:b/>
          <w:bCs/>
          <w:u w:val="single"/>
        </w:rPr>
        <w:t xml:space="preserve">degree of </w:t>
      </w:r>
      <w:r w:rsidRPr="001274D2">
        <w:t>urgency of the matter. The employees’ representatives shall be entitled to a reasoned written response from the central management or any more appropriate level of management prior to the adoption of the decision on the measures in question, provided the employee representatives expressed their opinion within a reasonable time in accordance with the first sentence.</w:t>
      </w:r>
    </w:p>
    <w:p w14:paraId="41EDD46E" w14:textId="55D016BD" w:rsidR="00D93E72" w:rsidRPr="001274D2" w:rsidRDefault="00196554" w:rsidP="00B60049">
      <w:pPr>
        <w:jc w:val="center"/>
      </w:pPr>
      <w:r w:rsidRPr="001274D2">
        <w:rPr>
          <w:i/>
          <w:iCs/>
        </w:rPr>
        <w:br w:type="page"/>
      </w:r>
      <w:r w:rsidR="00D93E72" w:rsidRPr="001274D2">
        <w:rPr>
          <w:i/>
          <w:iCs/>
        </w:rPr>
        <w:t>Article 10</w:t>
      </w:r>
      <w:r w:rsidR="00D93E72" w:rsidRPr="001274D2">
        <w:br/>
        <w:t>Role and protection of employees’ representatives</w:t>
      </w:r>
    </w:p>
    <w:p w14:paraId="5BFB4A83" w14:textId="77777777" w:rsidR="00D93E72" w:rsidRPr="001274D2" w:rsidRDefault="00D93E72" w:rsidP="00196554">
      <w:pPr>
        <w:pStyle w:val="PointManual1"/>
      </w:pPr>
      <w:r w:rsidRPr="001274D2">
        <w:t>1.</w:t>
      </w:r>
      <w:r w:rsidRPr="001274D2">
        <w:tab/>
        <w:t>Without prejudice to the competence of other bodies or organisations in this respect, the employees’ representatives, including the members of the special negotiating body and the members of the European Works Council, shall have the means required to apply the rights arising from this Directive, to represent collectively the interests of the employees of the Community-scale undertaking or Community-scale group of undertakings.</w:t>
      </w:r>
    </w:p>
    <w:p w14:paraId="52667987" w14:textId="77777777" w:rsidR="00D93E72" w:rsidRPr="001274D2" w:rsidRDefault="00D93E72" w:rsidP="00196554">
      <w:pPr>
        <w:pStyle w:val="PointManual1"/>
      </w:pPr>
      <w:r w:rsidRPr="001274D2">
        <w:t>2.</w:t>
      </w:r>
      <w:r w:rsidRPr="001274D2">
        <w:tab/>
        <w:t xml:space="preserve">Without prejudice to Articles 8 and 8a, the members of the European Works Council shall </w:t>
      </w:r>
      <w:r w:rsidRPr="001274D2">
        <w:rPr>
          <w:b/>
          <w:bCs/>
        </w:rPr>
        <w:t xml:space="preserve">[…] </w:t>
      </w:r>
      <w:r w:rsidRPr="001274D2">
        <w:t>inform</w:t>
      </w:r>
      <w:r w:rsidRPr="001274D2">
        <w:rPr>
          <w:b/>
          <w:bCs/>
        </w:rPr>
        <w:t xml:space="preserve"> </w:t>
      </w:r>
      <w:r w:rsidRPr="001274D2">
        <w:t xml:space="preserve">the representatives of the employees of the establishments or of the undertakings of a Community-scale group of undertakings or, in the absence of representatives, the workforce as a whole, of the content and outcome of the information and consultation procedure, in particular before and after the meetings with the central management </w:t>
      </w:r>
      <w:r w:rsidRPr="001274D2">
        <w:rPr>
          <w:b/>
          <w:bCs/>
        </w:rPr>
        <w:t>and shall have the necessary means to do so</w:t>
      </w:r>
      <w:r w:rsidRPr="001274D2">
        <w:t>.</w:t>
      </w:r>
    </w:p>
    <w:p w14:paraId="40510623" w14:textId="77777777" w:rsidR="00D93E72" w:rsidRPr="001274D2" w:rsidRDefault="00D93E72" w:rsidP="00196554">
      <w:pPr>
        <w:pStyle w:val="PointManual1"/>
      </w:pPr>
      <w:r w:rsidRPr="001274D2">
        <w:t>3.</w:t>
      </w:r>
      <w:r w:rsidRPr="001274D2">
        <w:tab/>
        <w:t>Members of special negotiating bodies, members of European Works Councils and employees’ representatives exercising their functions under the procedure referred to in Article 6(3) shall, in the exercise of their functions, enjoy protection and guarantees equivalent to those provided for employees’ representatives by the national legislation and practice in force in their country of employment.</w:t>
      </w:r>
    </w:p>
    <w:p w14:paraId="7F653B3C" w14:textId="77777777" w:rsidR="00D93E72" w:rsidRPr="001274D2" w:rsidRDefault="00D93E72" w:rsidP="00196554">
      <w:pPr>
        <w:pStyle w:val="PointManual1"/>
        <w:ind w:firstLine="0"/>
      </w:pPr>
      <w:r w:rsidRPr="001274D2">
        <w:t>This shall apply in particular to attendance at meetings of special negotiating bodies or European Works Councils or any other meetings within the framework of the agreement referred to in Article 6(3), the payment of wages for members who are on the staff of the Community-scale undertaking or the Community-scale group of undertakings for the period of absence necessary for the performance of their duties, and protection against retaliatory measures or dismissal.</w:t>
      </w:r>
    </w:p>
    <w:p w14:paraId="262B94EB" w14:textId="5A4B1E2B" w:rsidR="00FF48F5" w:rsidRPr="001274D2" w:rsidRDefault="00E10EBB" w:rsidP="0074242E">
      <w:pPr>
        <w:pStyle w:val="Text1"/>
        <w:ind w:left="1134"/>
        <w:rPr>
          <w:b/>
          <w:bCs/>
          <w:i/>
          <w:iCs/>
          <w:u w:val="single"/>
        </w:rPr>
      </w:pPr>
      <w:r w:rsidRPr="001274D2">
        <w:rPr>
          <w:b/>
          <w:bCs/>
          <w:i/>
          <w:iCs/>
          <w:u w:val="single"/>
        </w:rPr>
        <w:br w:type="page"/>
      </w:r>
      <w:r w:rsidR="00FF48F5" w:rsidRPr="001274D2">
        <w:rPr>
          <w:b/>
          <w:bCs/>
          <w:i/>
          <w:iCs/>
          <w:u w:val="single"/>
        </w:rPr>
        <w:t>A member of a special negotiating body or of a European Works Council, or such a member's alternate, who is a member of the crew of a seagoing vessel, shall be entitled to participate in a meeting of the special negotiating body or of the European Works Council, or in any other meeting under any procedures established pursuant to Article 6(3), where that member or alternate is not at sea or in a port in a country other than that in which the shipping company is domiciled, when the meeting takes place.</w:t>
      </w:r>
    </w:p>
    <w:p w14:paraId="70FCC8D8" w14:textId="77777777" w:rsidR="00FF48F5" w:rsidRPr="001274D2" w:rsidRDefault="00FF48F5" w:rsidP="00007932">
      <w:pPr>
        <w:pStyle w:val="Text1"/>
        <w:ind w:left="1134"/>
        <w:rPr>
          <w:b/>
          <w:bCs/>
          <w:i/>
          <w:iCs/>
          <w:u w:val="single"/>
        </w:rPr>
      </w:pPr>
      <w:r w:rsidRPr="001274D2">
        <w:rPr>
          <w:b/>
          <w:bCs/>
          <w:i/>
          <w:iCs/>
          <w:u w:val="single"/>
        </w:rPr>
        <w:t>Meetings shall, where practicable, be scheduled to facilitate the participation of members or alternates, who are members of the crews of seagoing vessels.</w:t>
      </w:r>
    </w:p>
    <w:p w14:paraId="2CB1FFA1" w14:textId="78F664B3" w:rsidR="00FF48F5" w:rsidRPr="001274D2" w:rsidRDefault="00FF48F5" w:rsidP="00007932">
      <w:pPr>
        <w:pStyle w:val="Text1"/>
        <w:ind w:left="1134"/>
        <w:rPr>
          <w:b/>
          <w:bCs/>
          <w:i/>
          <w:iCs/>
          <w:u w:val="single"/>
        </w:rPr>
      </w:pPr>
      <w:r w:rsidRPr="001274D2">
        <w:rPr>
          <w:b/>
          <w:bCs/>
          <w:i/>
          <w:iCs/>
          <w:u w:val="single"/>
        </w:rPr>
        <w:t>In cases where a member of a special negotiating body or of a European Works Council, or such a member's alternate, who is a member of the crew of a seagoing vessel, is unable to attend a meeting, the possibility of using, where possible, new information and communication technologies shall be considered.</w:t>
      </w:r>
      <w:r w:rsidR="00D84400" w:rsidRPr="001274D2">
        <w:rPr>
          <w:rStyle w:val="FootnoteReference"/>
          <w:b w:val="0"/>
          <w:bCs/>
          <w:i/>
          <w:iCs/>
          <w:u w:val="single"/>
        </w:rPr>
        <w:footnoteReference w:customMarkFollows="1" w:id="13"/>
        <w:t>**</w:t>
      </w:r>
    </w:p>
    <w:p w14:paraId="699E7AC9" w14:textId="1A6DA748" w:rsidR="00D93E72" w:rsidRPr="001274D2" w:rsidRDefault="00D93E72" w:rsidP="00196554">
      <w:pPr>
        <w:pStyle w:val="PointManual1"/>
      </w:pPr>
      <w:r w:rsidRPr="001274D2">
        <w:t>4.</w:t>
      </w:r>
      <w:r w:rsidRPr="001274D2">
        <w:tab/>
        <w:t>In so far as this is necessary for the exercise of their representative duties in an international environment, the members of the special negotiating body and of the European Works Council shall be provided with training without loss of wages.</w:t>
      </w:r>
    </w:p>
    <w:p w14:paraId="7FD952F2" w14:textId="12F0F0B4" w:rsidR="00D93E72" w:rsidRPr="001274D2" w:rsidRDefault="00D93E72" w:rsidP="00196554">
      <w:pPr>
        <w:pStyle w:val="PointManual1"/>
        <w:ind w:firstLine="0"/>
      </w:pPr>
      <w:r w:rsidRPr="001274D2">
        <w:t xml:space="preserve">Without prejudice to agreements concluded pursuant to Article 6(2), point (f), the </w:t>
      </w:r>
      <w:r w:rsidR="00F5693F" w:rsidRPr="001274D2">
        <w:rPr>
          <w:b/>
          <w:bCs/>
          <w:u w:val="single"/>
        </w:rPr>
        <w:t>reasonable</w:t>
      </w:r>
      <w:r w:rsidR="00F5693F" w:rsidRPr="001274D2">
        <w:t xml:space="preserve"> </w:t>
      </w:r>
      <w:r w:rsidRPr="001274D2">
        <w:t>costs of such training and related expenses shall be borne by the central management, provided that the central management has been informed in advance.”;</w:t>
      </w:r>
    </w:p>
    <w:p w14:paraId="4F501DA0" w14:textId="5290E22E" w:rsidR="00D93E72" w:rsidRPr="001274D2" w:rsidRDefault="00E10EBB" w:rsidP="0074242E">
      <w:pPr>
        <w:spacing w:before="0" w:after="200" w:line="276" w:lineRule="auto"/>
      </w:pPr>
      <w:r w:rsidRPr="001274D2">
        <w:br w:type="page"/>
      </w:r>
      <w:r w:rsidR="00196554" w:rsidRPr="001274D2">
        <w:t>(9)</w:t>
      </w:r>
      <w:r w:rsidR="00196554" w:rsidRPr="001274D2">
        <w:tab/>
      </w:r>
      <w:r w:rsidR="00D93E72" w:rsidRPr="001274D2">
        <w:t>Article 11 is amended as follows:</w:t>
      </w:r>
    </w:p>
    <w:p w14:paraId="4F8D6BF3" w14:textId="37B2CBD9" w:rsidR="00D93E72" w:rsidRPr="001274D2" w:rsidRDefault="00196554" w:rsidP="00196554">
      <w:pPr>
        <w:ind w:left="567"/>
      </w:pPr>
      <w:r w:rsidRPr="001274D2">
        <w:t>(a)</w:t>
      </w:r>
      <w:r w:rsidRPr="001274D2">
        <w:tab/>
      </w:r>
      <w:r w:rsidR="00D93E72" w:rsidRPr="001274D2">
        <w:t>paragraph 2 is replaced by the following:</w:t>
      </w:r>
    </w:p>
    <w:p w14:paraId="7F732789" w14:textId="77777777" w:rsidR="00D93E72" w:rsidRPr="001274D2" w:rsidRDefault="00D93E72" w:rsidP="00196554">
      <w:pPr>
        <w:ind w:left="1134"/>
      </w:pPr>
      <w:r w:rsidRPr="001274D2">
        <w:t>“2.</w:t>
      </w:r>
      <w:r w:rsidRPr="001274D2">
        <w:tab/>
        <w:t>Member States shall provide for appropriate measures in the event of failure to comply with the national provisions adopted pursuant to this Directive. In particular, they shall ensure that :</w:t>
      </w:r>
    </w:p>
    <w:p w14:paraId="7FC09FF0" w14:textId="77777777" w:rsidR="00D93E72" w:rsidRPr="001274D2" w:rsidRDefault="00D93E72" w:rsidP="00196554">
      <w:pPr>
        <w:ind w:left="1134"/>
      </w:pPr>
      <w:r w:rsidRPr="001274D2">
        <w:t>(a)</w:t>
      </w:r>
      <w:r w:rsidRPr="001274D2">
        <w:tab/>
        <w:t>adequate procedures are available to enable the rights and obligations deriving from this Directive to be enforced in a</w:t>
      </w:r>
      <w:r w:rsidRPr="001274D2">
        <w:rPr>
          <w:b/>
          <w:bCs/>
        </w:rPr>
        <w:t>n […]</w:t>
      </w:r>
      <w:r w:rsidRPr="001274D2">
        <w:t xml:space="preserve"> effective manner;</w:t>
      </w:r>
    </w:p>
    <w:p w14:paraId="632FB718" w14:textId="63416DB5" w:rsidR="00D93E72" w:rsidRPr="001274D2" w:rsidRDefault="00D93E72" w:rsidP="00196554">
      <w:pPr>
        <w:ind w:left="1134"/>
      </w:pPr>
      <w:r w:rsidRPr="001274D2">
        <w:t>(b)</w:t>
      </w:r>
      <w:r w:rsidRPr="001274D2">
        <w:tab/>
        <w:t xml:space="preserve">penalties that are effective, dissuasive and proportionate are applicable in cases of infringement of the rights and obligations deriving from this Directive </w:t>
      </w:r>
      <w:r w:rsidRPr="001274D2">
        <w:rPr>
          <w:b/>
          <w:bCs/>
        </w:rPr>
        <w:t>[…]</w:t>
      </w:r>
      <w:r w:rsidRPr="001274D2">
        <w:t>.</w:t>
      </w:r>
    </w:p>
    <w:p w14:paraId="388FF8B9" w14:textId="77777777" w:rsidR="00D93E72" w:rsidRPr="001274D2" w:rsidRDefault="00D93E72" w:rsidP="00196554">
      <w:pPr>
        <w:ind w:left="1134"/>
      </w:pPr>
      <w:r w:rsidRPr="001274D2">
        <w:t xml:space="preserve">In the event of failure to comply with the national provisions transposing the obligations under Article 9(2) and (3), Member States shall provide for </w:t>
      </w:r>
      <w:r w:rsidRPr="001274D2">
        <w:rPr>
          <w:b/>
          <w:bCs/>
        </w:rPr>
        <w:t>[…] financial penalties […].</w:t>
      </w:r>
      <w:r w:rsidRPr="001274D2" w:rsidDel="004112CC">
        <w:t xml:space="preserve"> </w:t>
      </w:r>
    </w:p>
    <w:p w14:paraId="0645A55B" w14:textId="77777777" w:rsidR="00D93E72" w:rsidRPr="001274D2" w:rsidRDefault="00D93E72" w:rsidP="00196554">
      <w:pPr>
        <w:ind w:left="1134"/>
        <w:rPr>
          <w:b/>
          <w:bCs/>
        </w:rPr>
      </w:pPr>
      <w:r w:rsidRPr="001274D2">
        <w:rPr>
          <w:b/>
          <w:bCs/>
        </w:rPr>
        <w:t>[…]</w:t>
      </w:r>
    </w:p>
    <w:p w14:paraId="38E546DC" w14:textId="44A1161B" w:rsidR="00D93E72" w:rsidRPr="001274D2" w:rsidRDefault="00196554" w:rsidP="00196554">
      <w:pPr>
        <w:ind w:left="567"/>
      </w:pPr>
      <w:r w:rsidRPr="001274D2">
        <w:br w:type="page"/>
        <w:t>(b)</w:t>
      </w:r>
      <w:r w:rsidRPr="001274D2">
        <w:tab/>
      </w:r>
      <w:r w:rsidR="00D93E72" w:rsidRPr="001274D2">
        <w:t>paragraph 3 is amended as follows:</w:t>
      </w:r>
    </w:p>
    <w:p w14:paraId="4EDC459B" w14:textId="77777777" w:rsidR="00D93E72" w:rsidRPr="001274D2" w:rsidRDefault="00D93E72" w:rsidP="00196554">
      <w:pPr>
        <w:pStyle w:val="Dash2"/>
      </w:pPr>
      <w:r w:rsidRPr="001274D2">
        <w:t>the first subparagraph is replaced by the following:</w:t>
      </w:r>
    </w:p>
    <w:p w14:paraId="7367236C" w14:textId="77777777" w:rsidR="00D93E72" w:rsidRPr="001274D2" w:rsidRDefault="00D93E72" w:rsidP="00196554">
      <w:pPr>
        <w:pStyle w:val="Dash2"/>
        <w:numPr>
          <w:ilvl w:val="0"/>
          <w:numId w:val="0"/>
        </w:numPr>
        <w:ind w:left="1701"/>
      </w:pPr>
      <w:r w:rsidRPr="001274D2">
        <w:t>“3.</w:t>
      </w:r>
      <w:r w:rsidRPr="001274D2">
        <w:tab/>
        <w:t>Member States shall make provision for administrative or judicial appeal procedures which the members of the special negotiating body, European Works Council members or employees’ representatives may initiate when the central management provides information in confidence in accordance with Article 8 or does not transmit information on specific grounds in accordance with Article 8a.”;</w:t>
      </w:r>
    </w:p>
    <w:p w14:paraId="56C6D773" w14:textId="77777777" w:rsidR="00D93E72" w:rsidRPr="001274D2" w:rsidRDefault="00D93E72" w:rsidP="00196554">
      <w:pPr>
        <w:pStyle w:val="Dash2"/>
      </w:pPr>
      <w:r w:rsidRPr="001274D2">
        <w:t>the following subparagraph is added:</w:t>
      </w:r>
    </w:p>
    <w:p w14:paraId="2544424D" w14:textId="77777777" w:rsidR="00D93E72" w:rsidRPr="001274D2" w:rsidRDefault="00D93E72" w:rsidP="00196554">
      <w:pPr>
        <w:pStyle w:val="Dash2"/>
        <w:numPr>
          <w:ilvl w:val="0"/>
          <w:numId w:val="0"/>
        </w:numPr>
        <w:ind w:left="1701"/>
      </w:pPr>
      <w:r w:rsidRPr="001274D2">
        <w:t>“The duration of</w:t>
      </w:r>
      <w:r w:rsidRPr="001274D2">
        <w:rPr>
          <w:b/>
          <w:bCs/>
        </w:rPr>
        <w:t xml:space="preserve"> […] the</w:t>
      </w:r>
      <w:r w:rsidRPr="001274D2">
        <w:t xml:space="preserve"> procedures </w:t>
      </w:r>
      <w:r w:rsidRPr="001274D2">
        <w:rPr>
          <w:b/>
          <w:bCs/>
        </w:rPr>
        <w:t>in the first subparagraph</w:t>
      </w:r>
      <w:r w:rsidRPr="001274D2">
        <w:t xml:space="preserve"> shall be compatible with the effective exercise of the information and consultation rights under this Directive.”;</w:t>
      </w:r>
    </w:p>
    <w:p w14:paraId="46B0508D" w14:textId="77777777" w:rsidR="00D93E72" w:rsidRPr="001274D2" w:rsidRDefault="00D93E72" w:rsidP="00196554">
      <w:pPr>
        <w:ind w:left="567"/>
        <w:rPr>
          <w:b/>
          <w:bCs/>
        </w:rPr>
      </w:pPr>
      <w:r w:rsidRPr="001274D2">
        <w:rPr>
          <w:b/>
          <w:bCs/>
        </w:rPr>
        <w:t>(bb-new)</w:t>
      </w:r>
      <w:r w:rsidRPr="001274D2">
        <w:rPr>
          <w:b/>
          <w:bCs/>
        </w:rPr>
        <w:tab/>
        <w:t>the following paragraph 3a is added:</w:t>
      </w:r>
    </w:p>
    <w:p w14:paraId="750EFD1F" w14:textId="1811CE26" w:rsidR="00D93E72" w:rsidRPr="001274D2" w:rsidRDefault="00D93E72" w:rsidP="00196554">
      <w:pPr>
        <w:ind w:left="1134"/>
        <w:rPr>
          <w:b/>
          <w:bCs/>
        </w:rPr>
      </w:pPr>
      <w:r w:rsidRPr="001274D2">
        <w:rPr>
          <w:b/>
          <w:bCs/>
        </w:rPr>
        <w:t>“3a.</w:t>
      </w:r>
      <w:r w:rsidRPr="001274D2">
        <w:rPr>
          <w:b/>
          <w:bCs/>
        </w:rPr>
        <w:tab/>
        <w:t xml:space="preserve">With respect to the rights conferred by this Directive, Member States shall ensure effective access to administrative </w:t>
      </w:r>
      <w:r w:rsidR="005E523A" w:rsidRPr="001274D2">
        <w:rPr>
          <w:b/>
          <w:bCs/>
          <w:u w:val="single"/>
        </w:rPr>
        <w:t xml:space="preserve">proceedings, where relevant, </w:t>
      </w:r>
      <w:r w:rsidRPr="001274D2">
        <w:rPr>
          <w:b/>
          <w:bCs/>
        </w:rPr>
        <w:t xml:space="preserve">and </w:t>
      </w:r>
      <w:r w:rsidR="005E523A" w:rsidRPr="001274D2">
        <w:rPr>
          <w:b/>
          <w:bCs/>
          <w:u w:val="single"/>
        </w:rPr>
        <w:t>to</w:t>
      </w:r>
      <w:r w:rsidR="005E523A" w:rsidRPr="001274D2">
        <w:rPr>
          <w:b/>
          <w:bCs/>
        </w:rPr>
        <w:t xml:space="preserve"> </w:t>
      </w:r>
      <w:r w:rsidRPr="001274D2">
        <w:rPr>
          <w:b/>
          <w:bCs/>
        </w:rPr>
        <w:t xml:space="preserve">judicial proceedings for European Work Councils and special negotiating bodies, </w:t>
      </w:r>
      <w:r w:rsidR="00A31D2D" w:rsidRPr="001274D2">
        <w:rPr>
          <w:b/>
          <w:bCs/>
        </w:rPr>
        <w:t xml:space="preserve">or, </w:t>
      </w:r>
      <w:r w:rsidR="00A31D2D" w:rsidRPr="001274D2">
        <w:rPr>
          <w:b/>
          <w:bCs/>
          <w:u w:val="single"/>
        </w:rPr>
        <w:t xml:space="preserve">on their behalf, </w:t>
      </w:r>
      <w:r w:rsidRPr="001274D2">
        <w:rPr>
          <w:b/>
          <w:bCs/>
          <w:u w:val="single"/>
        </w:rPr>
        <w:t xml:space="preserve">their members </w:t>
      </w:r>
      <w:r w:rsidR="005B279B" w:rsidRPr="001274D2">
        <w:rPr>
          <w:b/>
          <w:bCs/>
          <w:u w:val="single"/>
        </w:rPr>
        <w:t>or representatives</w:t>
      </w:r>
      <w:r w:rsidRPr="001274D2">
        <w:rPr>
          <w:b/>
          <w:bCs/>
        </w:rPr>
        <w:t>. In particular, Member States shall provide that the reasonable costs of legal representation and participation in such proceedings are borne by the central management. Alternatively, Member States</w:t>
      </w:r>
      <w:r w:rsidRPr="001274D2" w:rsidDel="00E061C2">
        <w:rPr>
          <w:b/>
          <w:bCs/>
        </w:rPr>
        <w:t xml:space="preserve"> </w:t>
      </w:r>
      <w:r w:rsidRPr="001274D2">
        <w:rPr>
          <w:b/>
          <w:bCs/>
        </w:rPr>
        <w:t>shall take other measures to avoid any de facto restriction of such access for reasons of lack of financial resources.”</w:t>
      </w:r>
    </w:p>
    <w:p w14:paraId="5B118E8A" w14:textId="00C934A2" w:rsidR="00D93E72" w:rsidRPr="001274D2" w:rsidRDefault="00196554" w:rsidP="00196554">
      <w:pPr>
        <w:tabs>
          <w:tab w:val="num" w:pos="1417"/>
        </w:tabs>
        <w:ind w:left="567"/>
      </w:pPr>
      <w:r w:rsidRPr="001274D2">
        <w:t>(c)</w:t>
      </w:r>
      <w:r w:rsidRPr="001274D2">
        <w:tab/>
      </w:r>
      <w:r w:rsidR="00D93E72" w:rsidRPr="001274D2">
        <w:t>the following paragraph 4 is added:</w:t>
      </w:r>
    </w:p>
    <w:p w14:paraId="4B961CC6" w14:textId="77777777" w:rsidR="00D93E72" w:rsidRPr="001274D2" w:rsidRDefault="00D93E72" w:rsidP="00196554">
      <w:pPr>
        <w:ind w:left="1134"/>
      </w:pPr>
      <w:r w:rsidRPr="001274D2">
        <w:t xml:space="preserve">4. Where Member States make access to legal proceedings conditional upon the prior implementation of an alternative dispute resolution, that procedure shall </w:t>
      </w:r>
      <w:r w:rsidRPr="001274D2">
        <w:rPr>
          <w:b/>
          <w:bCs/>
        </w:rPr>
        <w:t>not prejudice[…] the right of</w:t>
      </w:r>
      <w:r w:rsidRPr="001274D2">
        <w:t xml:space="preserve"> the parties concerned </w:t>
      </w:r>
      <w:r w:rsidRPr="001274D2">
        <w:rPr>
          <w:b/>
          <w:bCs/>
        </w:rPr>
        <w:t>[…]</w:t>
      </w:r>
      <w:r w:rsidRPr="001274D2">
        <w:t xml:space="preserve"> to bring legal proceedings.”;</w:t>
      </w:r>
    </w:p>
    <w:p w14:paraId="58DAAD32" w14:textId="3FB07B9C" w:rsidR="00D93E72" w:rsidRPr="001274D2" w:rsidRDefault="00196554" w:rsidP="00196554">
      <w:pPr>
        <w:pStyle w:val="PointManual"/>
      </w:pPr>
      <w:r w:rsidRPr="001274D2">
        <w:br w:type="page"/>
        <w:t>(10)</w:t>
      </w:r>
      <w:r w:rsidRPr="001274D2">
        <w:tab/>
      </w:r>
      <w:r w:rsidR="00D93E72" w:rsidRPr="001274D2">
        <w:t>in Article 12, the following paragraph is added:</w:t>
      </w:r>
    </w:p>
    <w:p w14:paraId="58334C20" w14:textId="77777777" w:rsidR="00D93E72" w:rsidRPr="001274D2" w:rsidRDefault="00D93E72" w:rsidP="00196554">
      <w:pPr>
        <w:ind w:left="567"/>
      </w:pPr>
      <w:r w:rsidRPr="001274D2">
        <w:t>“6.</w:t>
      </w:r>
      <w:r w:rsidRPr="001274D2">
        <w:tab/>
        <w:t>Each Member State may lay down particular provisions for the central management of undertakings in its territory which pursue directly and essentially the aim of ideological guidance with respect to information and the expression of opinions, on condition that, at the date of adoption of this Directive such particular provisions already exist in the national legislation.”;</w:t>
      </w:r>
    </w:p>
    <w:p w14:paraId="42FC5638" w14:textId="31857EF8" w:rsidR="00D93E72" w:rsidRPr="001274D2" w:rsidRDefault="00196554" w:rsidP="00196554">
      <w:pPr>
        <w:pStyle w:val="PointManual"/>
      </w:pPr>
      <w:r w:rsidRPr="001274D2">
        <w:t>(11)</w:t>
      </w:r>
      <w:r w:rsidRPr="001274D2">
        <w:tab/>
      </w:r>
      <w:r w:rsidR="00D93E72" w:rsidRPr="001274D2">
        <w:t>Article 14 is deleted;</w:t>
      </w:r>
    </w:p>
    <w:p w14:paraId="65848014" w14:textId="3F6832EB" w:rsidR="00D93E72" w:rsidRPr="001274D2" w:rsidRDefault="00196554" w:rsidP="00196554">
      <w:pPr>
        <w:pStyle w:val="PointManual"/>
      </w:pPr>
      <w:r w:rsidRPr="001274D2">
        <w:t>(12)</w:t>
      </w:r>
      <w:r w:rsidRPr="001274D2">
        <w:tab/>
      </w:r>
      <w:r w:rsidR="00D93E72" w:rsidRPr="001274D2">
        <w:t>the following Article is inserted:</w:t>
      </w:r>
    </w:p>
    <w:p w14:paraId="27326206" w14:textId="77777777" w:rsidR="00D93E72" w:rsidRPr="001274D2" w:rsidRDefault="00D93E72" w:rsidP="00B60049">
      <w:pPr>
        <w:jc w:val="center"/>
      </w:pPr>
      <w:r w:rsidRPr="001274D2">
        <w:t>“</w:t>
      </w:r>
      <w:r w:rsidRPr="001274D2">
        <w:rPr>
          <w:i/>
          <w:iCs/>
        </w:rPr>
        <w:t>Article 14a</w:t>
      </w:r>
      <w:r w:rsidRPr="001274D2">
        <w:br/>
        <w:t>Transitional provisions</w:t>
      </w:r>
    </w:p>
    <w:p w14:paraId="52E74317" w14:textId="59FF0CA4" w:rsidR="00D93E72" w:rsidRPr="001274D2" w:rsidRDefault="00D93E72" w:rsidP="00196554">
      <w:pPr>
        <w:pStyle w:val="PointManual1"/>
      </w:pPr>
      <w:r w:rsidRPr="001274D2">
        <w:t>1.</w:t>
      </w:r>
      <w:r w:rsidRPr="001274D2">
        <w:tab/>
        <w:t>Where, following the transposition of [</w:t>
      </w:r>
      <w:r w:rsidRPr="001274D2">
        <w:rPr>
          <w:i/>
          <w:iCs/>
        </w:rPr>
        <w:t>O</w:t>
      </w:r>
      <w:r w:rsidR="005A622A" w:rsidRPr="001274D2">
        <w:rPr>
          <w:b/>
          <w:bCs/>
          <w:i/>
          <w:iCs/>
          <w:u w:val="single"/>
        </w:rPr>
        <w:t>J</w:t>
      </w:r>
      <w:r w:rsidRPr="001274D2">
        <w:rPr>
          <w:i/>
          <w:iCs/>
        </w:rPr>
        <w:t>: insert reference to this amending Directive</w:t>
      </w:r>
      <w:r w:rsidRPr="001274D2">
        <w:t>], a European Works Council agreement or agreement on an information and consultation procedure concluded before [</w:t>
      </w:r>
      <w:r w:rsidRPr="001274D2">
        <w:rPr>
          <w:i/>
          <w:iCs/>
        </w:rPr>
        <w:t>O</w:t>
      </w:r>
      <w:r w:rsidR="005A622A" w:rsidRPr="001274D2">
        <w:rPr>
          <w:b/>
          <w:bCs/>
          <w:i/>
          <w:iCs/>
          <w:u w:val="single"/>
        </w:rPr>
        <w:t>J</w:t>
      </w:r>
      <w:r w:rsidRPr="001274D2">
        <w:rPr>
          <w:i/>
          <w:iCs/>
        </w:rPr>
        <w:t>: insert date from which the transposing provisions are to apply, set out in the Article 2(1), 2nd subpar. of this amending Directive</w:t>
      </w:r>
      <w:r w:rsidRPr="001274D2">
        <w:t>] in accordance with Articles 5 and 6 of Directive 94/45/EC or Articles 5 and 6 of this Directive is not in conformity with any of the</w:t>
      </w:r>
      <w:r w:rsidRPr="001274D2">
        <w:rPr>
          <w:b/>
          <w:bCs/>
        </w:rPr>
        <w:t xml:space="preserve"> </w:t>
      </w:r>
      <w:r w:rsidR="005467F8" w:rsidRPr="001274D2">
        <w:rPr>
          <w:b/>
          <w:bCs/>
          <w:u w:val="single"/>
        </w:rPr>
        <w:t>elements</w:t>
      </w:r>
      <w:r w:rsidR="006A3781" w:rsidRPr="001274D2">
        <w:rPr>
          <w:b/>
          <w:bCs/>
          <w:u w:val="single"/>
        </w:rPr>
        <w:t xml:space="preserve"> </w:t>
      </w:r>
      <w:r w:rsidR="0075095B" w:rsidRPr="001274D2">
        <w:rPr>
          <w:b/>
          <w:bCs/>
          <w:u w:val="single"/>
        </w:rPr>
        <w:t xml:space="preserve">and requirements </w:t>
      </w:r>
      <w:r w:rsidR="006A3781" w:rsidRPr="001274D2">
        <w:rPr>
          <w:b/>
          <w:bCs/>
          <w:u w:val="single"/>
        </w:rPr>
        <w:t xml:space="preserve">of </w:t>
      </w:r>
      <w:r w:rsidR="005A622A" w:rsidRPr="001274D2">
        <w:rPr>
          <w:b/>
          <w:bCs/>
          <w:u w:val="single"/>
        </w:rPr>
        <w:t>A</w:t>
      </w:r>
      <w:r w:rsidR="006A3781" w:rsidRPr="001274D2">
        <w:rPr>
          <w:b/>
          <w:bCs/>
          <w:u w:val="single"/>
        </w:rPr>
        <w:t>rticle 6</w:t>
      </w:r>
      <w:r w:rsidR="0075095B" w:rsidRPr="001274D2">
        <w:t xml:space="preserve"> </w:t>
      </w:r>
      <w:r w:rsidRPr="001274D2">
        <w:t>as a consequence of the amendments provided for in [</w:t>
      </w:r>
      <w:r w:rsidRPr="001274D2">
        <w:rPr>
          <w:i/>
          <w:iCs/>
        </w:rPr>
        <w:t>O</w:t>
      </w:r>
      <w:r w:rsidR="00012F10" w:rsidRPr="001274D2">
        <w:rPr>
          <w:b/>
          <w:bCs/>
          <w:i/>
          <w:iCs/>
          <w:u w:val="single"/>
        </w:rPr>
        <w:t>J</w:t>
      </w:r>
      <w:r w:rsidRPr="001274D2">
        <w:rPr>
          <w:i/>
          <w:iCs/>
        </w:rPr>
        <w:t>: insert reference to this amending Directive</w:t>
      </w:r>
      <w:r w:rsidRPr="001274D2">
        <w:t>], central management shall</w:t>
      </w:r>
      <w:r w:rsidR="002D2F89" w:rsidRPr="001274D2">
        <w:rPr>
          <w:b/>
          <w:bCs/>
          <w:u w:val="single"/>
        </w:rPr>
        <w:t xml:space="preserve">, at the written request of at least 100 employees or their representatives in at least two undertakings or establishments in at least two different Member States, </w:t>
      </w:r>
      <w:r w:rsidRPr="001274D2">
        <w:t xml:space="preserve">initiate negotiations to adapt that agreement </w:t>
      </w:r>
      <w:r w:rsidRPr="001274D2">
        <w:rPr>
          <w:b/>
          <w:bCs/>
        </w:rPr>
        <w:t>to the new legal framework</w:t>
      </w:r>
      <w:r w:rsidR="00D84400" w:rsidRPr="001274D2">
        <w:rPr>
          <w:b/>
          <w:bCs/>
        </w:rPr>
        <w:t xml:space="preserve"> </w:t>
      </w:r>
      <w:r w:rsidR="003B0F7C" w:rsidRPr="001274D2">
        <w:rPr>
          <w:b/>
          <w:bCs/>
          <w:u w:val="single"/>
        </w:rPr>
        <w:t>[…]</w:t>
      </w:r>
      <w:r w:rsidRPr="001274D2">
        <w:t xml:space="preserve">. Central management may also initiate such negotiations on its own initiative. </w:t>
      </w:r>
      <w:r w:rsidR="002D2F89" w:rsidRPr="001274D2">
        <w:rPr>
          <w:b/>
          <w:bCs/>
          <w:u w:val="single"/>
        </w:rPr>
        <w:t>Such</w:t>
      </w:r>
      <w:r w:rsidR="002D2F89" w:rsidRPr="001274D2">
        <w:rPr>
          <w:b/>
          <w:bCs/>
        </w:rPr>
        <w:t xml:space="preserve"> </w:t>
      </w:r>
      <w:r w:rsidRPr="001274D2">
        <w:rPr>
          <w:b/>
          <w:bCs/>
        </w:rPr>
        <w:t xml:space="preserve">negotiations may be limited to </w:t>
      </w:r>
      <w:r w:rsidRPr="001274D2">
        <w:rPr>
          <w:b/>
          <w:bCs/>
          <w:u w:val="single"/>
        </w:rPr>
        <w:t>the</w:t>
      </w:r>
      <w:r w:rsidRPr="001274D2">
        <w:rPr>
          <w:b/>
          <w:bCs/>
        </w:rPr>
        <w:t xml:space="preserve"> provisions of the agreement that are not in conformity with the new legal framework</w:t>
      </w:r>
      <w:r w:rsidRPr="001274D2">
        <w:t>.</w:t>
      </w:r>
    </w:p>
    <w:p w14:paraId="0D05AB11" w14:textId="47A45FE5" w:rsidR="00D93E72" w:rsidRPr="001274D2" w:rsidRDefault="00196554" w:rsidP="00196554">
      <w:pPr>
        <w:pStyle w:val="PointManual1"/>
      </w:pPr>
      <w:r w:rsidRPr="001274D2">
        <w:br w:type="page"/>
      </w:r>
      <w:r w:rsidR="00D93E72" w:rsidRPr="001274D2">
        <w:t>2.</w:t>
      </w:r>
      <w:r w:rsidR="00D93E72" w:rsidRPr="001274D2">
        <w:tab/>
        <w:t>Where the European Works Council agreement or agreement on an information and consultation procedure contains procedural arrangements for its adaptation or renegotiation, the adaptation may be negotiated pursuant to those arrangements. Otherwise, the adaptation shall follow the procedure set out in Article 5 in conjunction with Article 13, second and third paragraphs.</w:t>
      </w:r>
    </w:p>
    <w:p w14:paraId="2D805942" w14:textId="6A1EC8D5" w:rsidR="00D93E72" w:rsidRPr="001274D2" w:rsidRDefault="00D93E72" w:rsidP="00C73257">
      <w:pPr>
        <w:pStyle w:val="PointManual1"/>
      </w:pPr>
      <w:r w:rsidRPr="001274D2">
        <w:t>3.</w:t>
      </w:r>
      <w:r w:rsidRPr="001274D2">
        <w:tab/>
      </w:r>
      <w:r w:rsidR="00AA4803" w:rsidRPr="001274D2">
        <w:rPr>
          <w:b/>
          <w:bCs/>
          <w:u w:val="single"/>
        </w:rPr>
        <w:t xml:space="preserve">When </w:t>
      </w:r>
      <w:r w:rsidRPr="001274D2">
        <w:t xml:space="preserve">an adaptation procedure </w:t>
      </w:r>
      <w:r w:rsidR="00AA4803" w:rsidRPr="001274D2">
        <w:rPr>
          <w:b/>
          <w:bCs/>
          <w:u w:val="single"/>
        </w:rPr>
        <w:t>under this article</w:t>
      </w:r>
      <w:r w:rsidR="00AA4803" w:rsidRPr="001274D2">
        <w:t xml:space="preserve"> </w:t>
      </w:r>
      <w:r w:rsidRPr="001274D2">
        <w:t xml:space="preserve">does not lead to an agreement within two years from the date of the respective request by employees or their representatives </w:t>
      </w:r>
      <w:r w:rsidRPr="001274D2">
        <w:rPr>
          <w:b/>
          <w:bCs/>
        </w:rPr>
        <w:t>or from the date of initiation of the negotiations by the central management on its own initiative</w:t>
      </w:r>
      <w:r w:rsidRPr="001274D2">
        <w:t>, the subsidiary requirements set out in Annex I shall apply.</w:t>
      </w:r>
    </w:p>
    <w:p w14:paraId="2FED07A7" w14:textId="77777777" w:rsidR="00D93E72" w:rsidRPr="001274D2" w:rsidRDefault="00D93E72" w:rsidP="00C73257">
      <w:pPr>
        <w:pStyle w:val="PointManual"/>
        <w:rPr>
          <w:b/>
          <w:bCs/>
        </w:rPr>
      </w:pPr>
      <w:r w:rsidRPr="001274D2">
        <w:rPr>
          <w:b/>
          <w:bCs/>
        </w:rPr>
        <w:t>(12a -new)</w:t>
      </w:r>
      <w:r w:rsidRPr="001274D2">
        <w:rPr>
          <w:b/>
          <w:bCs/>
        </w:rPr>
        <w:tab/>
        <w:t xml:space="preserve"> the following Article is inserted:</w:t>
      </w:r>
    </w:p>
    <w:p w14:paraId="334B60DE" w14:textId="77777777" w:rsidR="00D93E72" w:rsidRPr="001274D2" w:rsidRDefault="00D93E72" w:rsidP="00B60049">
      <w:pPr>
        <w:jc w:val="center"/>
        <w:rPr>
          <w:b/>
          <w:bCs/>
        </w:rPr>
      </w:pPr>
      <w:r w:rsidRPr="001274D2">
        <w:rPr>
          <w:b/>
          <w:bCs/>
          <w:i/>
          <w:iCs/>
        </w:rPr>
        <w:t>Article</w:t>
      </w:r>
      <w:r w:rsidRPr="001274D2">
        <w:rPr>
          <w:b/>
          <w:bCs/>
        </w:rPr>
        <w:t xml:space="preserve"> </w:t>
      </w:r>
      <w:r w:rsidRPr="001274D2">
        <w:rPr>
          <w:b/>
          <w:bCs/>
          <w:i/>
          <w:iCs/>
        </w:rPr>
        <w:t>14b</w:t>
      </w:r>
    </w:p>
    <w:p w14:paraId="6DCFFE43" w14:textId="2894CF43" w:rsidR="00D93E72" w:rsidRPr="001274D2" w:rsidRDefault="00D93E72" w:rsidP="00C73257">
      <w:pPr>
        <w:pStyle w:val="PointManual1"/>
        <w:ind w:firstLine="0"/>
      </w:pPr>
      <w:r w:rsidRPr="001274D2">
        <w:rPr>
          <w:b/>
          <w:bCs/>
        </w:rPr>
        <w:t xml:space="preserve">Where negotiations </w:t>
      </w:r>
      <w:r w:rsidR="006059E9" w:rsidRPr="001274D2">
        <w:rPr>
          <w:b/>
          <w:bCs/>
          <w:u w:val="single"/>
        </w:rPr>
        <w:t>pursuant to Article 5</w:t>
      </w:r>
      <w:r w:rsidR="006059E9" w:rsidRPr="001274D2">
        <w:rPr>
          <w:b/>
          <w:bCs/>
        </w:rPr>
        <w:t xml:space="preserve"> </w:t>
      </w:r>
      <w:r w:rsidRPr="001274D2">
        <w:rPr>
          <w:b/>
          <w:bCs/>
        </w:rPr>
        <w:t xml:space="preserve">are initiated </w:t>
      </w:r>
      <w:r w:rsidR="00D84400" w:rsidRPr="001274D2">
        <w:rPr>
          <w:b/>
          <w:bCs/>
          <w:u w:val="single"/>
        </w:rPr>
        <w:t>[…]</w:t>
      </w:r>
      <w:r w:rsidRPr="001274D2">
        <w:rPr>
          <w:b/>
          <w:bCs/>
        </w:rPr>
        <w:t xml:space="preserve">in a Community-scale undertaking or Community-scale group of undertakings </w:t>
      </w:r>
      <w:r w:rsidR="007F1A26" w:rsidRPr="001274D2">
        <w:rPr>
          <w:b/>
          <w:bCs/>
          <w:u w:val="single"/>
        </w:rPr>
        <w:t xml:space="preserve">[…] </w:t>
      </w:r>
      <w:r w:rsidR="002A61E8" w:rsidRPr="001274D2">
        <w:rPr>
          <w:b/>
          <w:bCs/>
          <w:u w:val="single"/>
        </w:rPr>
        <w:t>hitherto exempted under Article 14(1)(a) of this Directive, in the version in force on</w:t>
      </w:r>
      <w:r w:rsidR="002A61E8" w:rsidRPr="001274D2">
        <w:rPr>
          <w:b/>
          <w:bCs/>
        </w:rPr>
        <w:t xml:space="preserve"> </w:t>
      </w:r>
      <w:r w:rsidR="002A61E8" w:rsidRPr="001274D2">
        <w:rPr>
          <w:b/>
          <w:bCs/>
          <w:u w:val="single"/>
        </w:rPr>
        <w:t>[</w:t>
      </w:r>
      <w:r w:rsidR="002A61E8" w:rsidRPr="001274D2">
        <w:rPr>
          <w:b/>
          <w:bCs/>
          <w:i/>
          <w:iCs/>
          <w:u w:val="single"/>
        </w:rPr>
        <w:t>O</w:t>
      </w:r>
      <w:r w:rsidR="00B613F1" w:rsidRPr="001274D2">
        <w:rPr>
          <w:b/>
          <w:bCs/>
          <w:i/>
          <w:iCs/>
          <w:u w:val="single"/>
        </w:rPr>
        <w:t>J</w:t>
      </w:r>
      <w:r w:rsidR="002A61E8" w:rsidRPr="001274D2">
        <w:rPr>
          <w:b/>
          <w:bCs/>
          <w:i/>
          <w:iCs/>
          <w:u w:val="single"/>
        </w:rPr>
        <w:t>: insert date one day before the date referred to in Article 3 of this amending Directive</w:t>
      </w:r>
      <w:r w:rsidR="002A61E8" w:rsidRPr="001274D2">
        <w:rPr>
          <w:b/>
          <w:bCs/>
          <w:u w:val="single"/>
        </w:rPr>
        <w:t>]</w:t>
      </w:r>
      <w:r w:rsidRPr="001274D2">
        <w:rPr>
          <w:b/>
          <w:bCs/>
          <w:u w:val="single"/>
        </w:rPr>
        <w:t>,</w:t>
      </w:r>
      <w:r w:rsidRPr="001274D2">
        <w:rPr>
          <w:b/>
          <w:bCs/>
        </w:rPr>
        <w:t xml:space="preserve"> </w:t>
      </w:r>
      <w:r w:rsidR="00B613F1" w:rsidRPr="001274D2">
        <w:rPr>
          <w:b/>
          <w:bCs/>
          <w:u w:val="single"/>
        </w:rPr>
        <w:t>[…]</w:t>
      </w:r>
      <w:r w:rsidR="00B613F1" w:rsidRPr="001274D2">
        <w:rPr>
          <w:b/>
          <w:bCs/>
        </w:rPr>
        <w:t xml:space="preserve"> </w:t>
      </w:r>
      <w:r w:rsidRPr="001274D2">
        <w:rPr>
          <w:b/>
          <w:bCs/>
        </w:rPr>
        <w:t>the period referred to in Article 7(1) indent three shall be reduced to two years</w:t>
      </w:r>
      <w:r w:rsidRPr="001274D2">
        <w:rPr>
          <w:sz w:val="16"/>
          <w:szCs w:val="16"/>
        </w:rPr>
        <w:t xml:space="preserve">. </w:t>
      </w:r>
      <w:r w:rsidRPr="001274D2">
        <w:rPr>
          <w:b/>
          <w:bCs/>
        </w:rPr>
        <w:t>The initiation of negotiations does not affect the terms of the existing agreements in force.</w:t>
      </w:r>
      <w:r w:rsidRPr="001274D2">
        <w:t>”;</w:t>
      </w:r>
    </w:p>
    <w:p w14:paraId="5F5A3378" w14:textId="7C6A9460" w:rsidR="00D93E72" w:rsidRPr="001274D2" w:rsidRDefault="00C73257" w:rsidP="00C73257">
      <w:pPr>
        <w:pStyle w:val="PointManual"/>
      </w:pPr>
      <w:r w:rsidRPr="001274D2">
        <w:t>(13)</w:t>
      </w:r>
      <w:r w:rsidRPr="001274D2">
        <w:tab/>
      </w:r>
      <w:r w:rsidR="00D93E72" w:rsidRPr="001274D2">
        <w:t>Annex I is amended in accordance with the Annex to this Directive.</w:t>
      </w:r>
    </w:p>
    <w:p w14:paraId="2275686C" w14:textId="1FCB0E81" w:rsidR="00D93E72" w:rsidRPr="001274D2" w:rsidRDefault="00C73257" w:rsidP="00B60049">
      <w:pPr>
        <w:jc w:val="center"/>
        <w:rPr>
          <w:i/>
        </w:rPr>
      </w:pPr>
      <w:r w:rsidRPr="001274D2">
        <w:rPr>
          <w:i/>
          <w:iCs/>
        </w:rPr>
        <w:br w:type="page"/>
      </w:r>
      <w:r w:rsidR="00D93E72" w:rsidRPr="001274D2">
        <w:rPr>
          <w:i/>
          <w:iCs/>
        </w:rPr>
        <w:t>Article</w:t>
      </w:r>
      <w:r w:rsidR="00D93E72" w:rsidRPr="001274D2">
        <w:rPr>
          <w:i/>
        </w:rPr>
        <w:t xml:space="preserve"> 2</w:t>
      </w:r>
    </w:p>
    <w:p w14:paraId="0D33CB4F" w14:textId="77777777" w:rsidR="00D93E72" w:rsidRPr="001274D2" w:rsidRDefault="00D93E72" w:rsidP="00C73257">
      <w:pPr>
        <w:pStyle w:val="PointManual"/>
      </w:pPr>
      <w:r w:rsidRPr="001274D2">
        <w:t>1.</w:t>
      </w:r>
      <w:r w:rsidRPr="001274D2">
        <w:tab/>
        <w:t>Member States shall adopt and publish, by [</w:t>
      </w:r>
      <w:r w:rsidRPr="001274D2">
        <w:rPr>
          <w:i/>
          <w:iCs/>
        </w:rPr>
        <w:t xml:space="preserve">OP: insert date </w:t>
      </w:r>
      <w:r w:rsidRPr="001274D2">
        <w:rPr>
          <w:b/>
          <w:bCs/>
          <w:i/>
          <w:iCs/>
        </w:rPr>
        <w:t xml:space="preserve">two </w:t>
      </w:r>
      <w:r w:rsidRPr="001274D2">
        <w:rPr>
          <w:i/>
          <w:iCs/>
        </w:rPr>
        <w:t>year</w:t>
      </w:r>
      <w:r w:rsidRPr="001274D2">
        <w:rPr>
          <w:b/>
          <w:bCs/>
          <w:i/>
          <w:iCs/>
        </w:rPr>
        <w:t xml:space="preserve">s </w:t>
      </w:r>
      <w:r w:rsidRPr="001274D2">
        <w:rPr>
          <w:i/>
          <w:iCs/>
        </w:rPr>
        <w:t>from the entry into force of this Directive</w:t>
      </w:r>
      <w:r w:rsidRPr="001274D2">
        <w:t>]</w:t>
      </w:r>
      <w:r w:rsidRPr="001274D2">
        <w:rPr>
          <w:color w:val="0000FF"/>
        </w:rPr>
        <w:t xml:space="preserve"> </w:t>
      </w:r>
      <w:r w:rsidRPr="001274D2">
        <w:t>at the latest, the laws, regulations and administrative provisions necessary to comply with this Directive. They shall forthwith communicate to the Commission the text of those provisions.</w:t>
      </w:r>
    </w:p>
    <w:p w14:paraId="170B4189" w14:textId="77777777" w:rsidR="00D93E72" w:rsidRPr="001274D2" w:rsidRDefault="00D93E72" w:rsidP="00C73257">
      <w:pPr>
        <w:pStyle w:val="PointManual"/>
        <w:ind w:firstLine="0"/>
      </w:pPr>
      <w:r w:rsidRPr="001274D2">
        <w:t>They shall apply those provisions from [</w:t>
      </w:r>
      <w:r w:rsidRPr="001274D2">
        <w:rPr>
          <w:i/>
          <w:iCs/>
        </w:rPr>
        <w:t>OP: insert date two years from the date set out in the first subparagraph</w:t>
      </w:r>
      <w:r w:rsidRPr="001274D2">
        <w:t>].</w:t>
      </w:r>
    </w:p>
    <w:p w14:paraId="25DDE236" w14:textId="77777777" w:rsidR="00D93E72" w:rsidRPr="001274D2" w:rsidRDefault="00D93E72" w:rsidP="00C73257">
      <w:pPr>
        <w:pStyle w:val="PointManual"/>
        <w:ind w:firstLine="0"/>
      </w:pPr>
      <w:r w:rsidRPr="001274D2">
        <w:t>When Member States adopt those provisions, they shall contain a reference to this Directive or be accompanied by such a reference on the occasion of their official publication. Member States shall determine how such reference is to be made.</w:t>
      </w:r>
    </w:p>
    <w:p w14:paraId="4C3C095C" w14:textId="77777777" w:rsidR="00D93E72" w:rsidRPr="001274D2" w:rsidRDefault="00D93E72" w:rsidP="00C73257">
      <w:pPr>
        <w:pStyle w:val="PointManual"/>
      </w:pPr>
      <w:r w:rsidRPr="001274D2">
        <w:t>2.</w:t>
      </w:r>
      <w:r w:rsidRPr="001274D2">
        <w:tab/>
        <w:t>Member States shall communicate to the Commission the text of the main provisions of national law which they adopt in the field covered by this Directive.</w:t>
      </w:r>
    </w:p>
    <w:p w14:paraId="363FDCCC" w14:textId="5AB24974" w:rsidR="00D93E72" w:rsidRPr="001274D2" w:rsidRDefault="00D93E72" w:rsidP="00C73257">
      <w:pPr>
        <w:pStyle w:val="PointManual"/>
        <w:ind w:firstLine="0"/>
      </w:pPr>
      <w:r w:rsidRPr="001274D2">
        <w:t>Regarding the amendments provided for in Article 1, point 8, of this Directive, Member States shall notify the Commission by [</w:t>
      </w:r>
      <w:r w:rsidRPr="001274D2">
        <w:rPr>
          <w:i/>
          <w:iCs/>
        </w:rPr>
        <w:t>OP: insert date in the first subparagraph of paragraph 1</w:t>
      </w:r>
      <w:r w:rsidRPr="001274D2">
        <w:t>] of the means by which the European Works Councils, the special negotiating bodies, and employees’ representatives can, in accordance with Article 11(2), (3)</w:t>
      </w:r>
      <w:r w:rsidR="004B63B2" w:rsidRPr="001274D2">
        <w:t xml:space="preserve">, </w:t>
      </w:r>
      <w:r w:rsidR="004B63B2" w:rsidRPr="001274D2">
        <w:rPr>
          <w:b/>
          <w:bCs/>
          <w:u w:val="single"/>
        </w:rPr>
        <w:t>(3a)</w:t>
      </w:r>
      <w:r w:rsidRPr="001274D2">
        <w:rPr>
          <w:b/>
          <w:bCs/>
        </w:rPr>
        <w:t xml:space="preserve"> </w:t>
      </w:r>
      <w:r w:rsidRPr="001274D2">
        <w:t>and (4) of Directive 2009/38/EC, as amended, bring judicial proceedings, and where applicable, administrative proceedings, in respect of all the rights under this Directive</w:t>
      </w:r>
    </w:p>
    <w:p w14:paraId="4B0657CC" w14:textId="63F6BD13" w:rsidR="00D93E72" w:rsidRPr="001274D2" w:rsidRDefault="00C73257" w:rsidP="00B60049">
      <w:pPr>
        <w:jc w:val="center"/>
        <w:rPr>
          <w:i/>
        </w:rPr>
      </w:pPr>
      <w:r w:rsidRPr="001274D2">
        <w:rPr>
          <w:i/>
          <w:iCs/>
        </w:rPr>
        <w:br w:type="page"/>
      </w:r>
      <w:r w:rsidR="00D93E72" w:rsidRPr="001274D2">
        <w:rPr>
          <w:i/>
          <w:iCs/>
        </w:rPr>
        <w:t>Article</w:t>
      </w:r>
      <w:r w:rsidR="00D93E72" w:rsidRPr="001274D2">
        <w:rPr>
          <w:i/>
        </w:rPr>
        <w:t xml:space="preserve"> 3</w:t>
      </w:r>
    </w:p>
    <w:p w14:paraId="4D631735" w14:textId="77777777" w:rsidR="00D93E72" w:rsidRPr="001274D2" w:rsidRDefault="00D93E72" w:rsidP="00C73257">
      <w:pPr>
        <w:pStyle w:val="PointManual"/>
        <w:ind w:left="0" w:firstLine="0"/>
      </w:pPr>
      <w:r w:rsidRPr="001274D2">
        <w:t xml:space="preserve">This Directive shall enter into force on the twentieth day following that of its publication in the </w:t>
      </w:r>
      <w:r w:rsidRPr="001274D2">
        <w:rPr>
          <w:i/>
        </w:rPr>
        <w:t>Official Journal of the European Union</w:t>
      </w:r>
      <w:r w:rsidRPr="001274D2">
        <w:t>.</w:t>
      </w:r>
    </w:p>
    <w:p w14:paraId="6D7E2DE2" w14:textId="77777777" w:rsidR="00D93E72" w:rsidRPr="001274D2" w:rsidRDefault="00D93E72" w:rsidP="00B60049">
      <w:pPr>
        <w:jc w:val="center"/>
        <w:rPr>
          <w:i/>
        </w:rPr>
      </w:pPr>
      <w:r w:rsidRPr="001274D2">
        <w:rPr>
          <w:i/>
          <w:iCs/>
        </w:rPr>
        <w:t>Article</w:t>
      </w:r>
      <w:r w:rsidRPr="001274D2">
        <w:rPr>
          <w:i/>
        </w:rPr>
        <w:t xml:space="preserve"> 4</w:t>
      </w:r>
    </w:p>
    <w:p w14:paraId="1CB32AF1" w14:textId="77777777" w:rsidR="00D93E72" w:rsidRPr="001274D2" w:rsidRDefault="00D93E72" w:rsidP="00C73257">
      <w:pPr>
        <w:pStyle w:val="PointManual"/>
      </w:pPr>
      <w:r w:rsidRPr="001274D2">
        <w:t>This Directive is addressed to the Member States.</w:t>
      </w:r>
    </w:p>
    <w:p w14:paraId="20833280" w14:textId="77777777" w:rsidR="00D93E72" w:rsidRPr="001274D2" w:rsidRDefault="00D93E72" w:rsidP="00C73257">
      <w:pPr>
        <w:pStyle w:val="PointManual"/>
      </w:pPr>
      <w:r w:rsidRPr="001274D2">
        <w:t>Done at Brussels,</w:t>
      </w:r>
    </w:p>
    <w:p w14:paraId="64350EE5" w14:textId="77777777" w:rsidR="00D93E72" w:rsidRPr="001274D2" w:rsidRDefault="00D93E72" w:rsidP="00C73257">
      <w:pPr>
        <w:pStyle w:val="PointManual"/>
        <w:spacing w:before="480"/>
        <w:rPr>
          <w:i/>
        </w:rPr>
      </w:pPr>
      <w:r w:rsidRPr="001274D2">
        <w:rPr>
          <w:i/>
        </w:rPr>
        <w:t>For the European Parliament</w:t>
      </w:r>
      <w:r w:rsidRPr="001274D2">
        <w:rPr>
          <w:i/>
        </w:rPr>
        <w:tab/>
        <w:t>For the Council</w:t>
      </w:r>
    </w:p>
    <w:p w14:paraId="543FFF64" w14:textId="2CC90376" w:rsidR="00D93E72" w:rsidRPr="001274D2" w:rsidRDefault="00D93E72" w:rsidP="00C73257">
      <w:pPr>
        <w:keepNext/>
        <w:tabs>
          <w:tab w:val="left" w:pos="4252"/>
        </w:tabs>
        <w:spacing w:before="720" w:after="600" w:line="240" w:lineRule="auto"/>
        <w:jc w:val="both"/>
        <w:rPr>
          <w:lang w:val="en-US"/>
        </w:rPr>
      </w:pPr>
      <w:r w:rsidRPr="001274D2">
        <w:rPr>
          <w:i/>
        </w:rPr>
        <w:t>The President</w:t>
      </w:r>
      <w:r w:rsidRPr="001274D2">
        <w:rPr>
          <w:i/>
        </w:rPr>
        <w:tab/>
        <w:t>The President</w:t>
      </w:r>
    </w:p>
    <w:p w14:paraId="62EB3D44" w14:textId="77777777" w:rsidR="00B60049" w:rsidRPr="001274D2" w:rsidRDefault="00B60049" w:rsidP="00B60049">
      <w:pPr>
        <w:pStyle w:val="FinalLine"/>
      </w:pPr>
    </w:p>
    <w:p w14:paraId="6DF8A134" w14:textId="77777777" w:rsidR="00B60049" w:rsidRPr="001274D2" w:rsidRDefault="00B60049" w:rsidP="00B60049">
      <w:pPr>
        <w:sectPr w:rsidR="00B60049" w:rsidRPr="001274D2" w:rsidSect="00E55F0E">
          <w:headerReference w:type="default" r:id="rId15"/>
          <w:footerReference w:type="default" r:id="rId16"/>
          <w:pgSz w:w="11907" w:h="16839"/>
          <w:pgMar w:top="1134" w:right="1134" w:bottom="1134" w:left="1134" w:header="567" w:footer="567" w:gutter="0"/>
          <w:cols w:space="720"/>
          <w:docGrid w:linePitch="360"/>
        </w:sectPr>
      </w:pPr>
    </w:p>
    <w:p w14:paraId="7534655E" w14:textId="384DCCEC" w:rsidR="00B60049" w:rsidRPr="001274D2" w:rsidRDefault="00B60049" w:rsidP="00B60049">
      <w:pPr>
        <w:pStyle w:val="Annex"/>
      </w:pPr>
      <w:r w:rsidRPr="001274D2">
        <w:t>ANNEX to the ANNEX</w:t>
      </w:r>
    </w:p>
    <w:p w14:paraId="3CC3D4CD" w14:textId="5E0DF0B2" w:rsidR="00D93E72" w:rsidRPr="001274D2" w:rsidRDefault="00C73257" w:rsidP="00D93E72">
      <w:pPr>
        <w:spacing w:line="240" w:lineRule="auto"/>
        <w:jc w:val="center"/>
        <w:rPr>
          <w:bCs/>
          <w:u w:val="single"/>
          <w:lang w:val="en-US"/>
        </w:rPr>
      </w:pPr>
      <w:r w:rsidRPr="001274D2">
        <w:rPr>
          <w:bCs/>
          <w:u w:val="single"/>
          <w:lang w:val="en-US"/>
        </w:rPr>
        <w:t xml:space="preserve">ANNEX – </w:t>
      </w:r>
      <w:r w:rsidR="00D93E72" w:rsidRPr="001274D2">
        <w:rPr>
          <w:bCs/>
          <w:u w:val="single"/>
          <w:lang w:val="en-US"/>
        </w:rPr>
        <w:t>Subsidiary requirements</w:t>
      </w:r>
    </w:p>
    <w:p w14:paraId="3FC799AF" w14:textId="77777777" w:rsidR="00D93E72" w:rsidRPr="001274D2" w:rsidRDefault="00D93E72" w:rsidP="00D93E72">
      <w:pPr>
        <w:spacing w:line="240" w:lineRule="auto"/>
        <w:jc w:val="center"/>
        <w:rPr>
          <w:bCs/>
          <w:noProof/>
          <w:u w:val="single"/>
        </w:rPr>
      </w:pPr>
    </w:p>
    <w:p w14:paraId="675FA6EA" w14:textId="77777777" w:rsidR="00D93E72" w:rsidRPr="001274D2" w:rsidRDefault="00D93E72" w:rsidP="00A14403">
      <w:pPr>
        <w:pStyle w:val="PointManual"/>
        <w:rPr>
          <w:noProof/>
        </w:rPr>
      </w:pPr>
      <w:r w:rsidRPr="001274D2">
        <w:t>Annex</w:t>
      </w:r>
      <w:r w:rsidRPr="001274D2">
        <w:rPr>
          <w:noProof/>
        </w:rPr>
        <w:t xml:space="preserve"> I to Directive 2009/38/EC is amended as follows:</w:t>
      </w:r>
    </w:p>
    <w:p w14:paraId="5B933EC4" w14:textId="1565D455" w:rsidR="00D93E72" w:rsidRPr="001274D2" w:rsidRDefault="00A14403" w:rsidP="00A14403">
      <w:pPr>
        <w:pStyle w:val="PointManual"/>
        <w:rPr>
          <w:noProof/>
        </w:rPr>
      </w:pPr>
      <w:r w:rsidRPr="001274D2">
        <w:t>(1)</w:t>
      </w:r>
      <w:r w:rsidRPr="001274D2">
        <w:tab/>
      </w:r>
      <w:r w:rsidR="00D93E72" w:rsidRPr="001274D2">
        <w:t>point</w:t>
      </w:r>
      <w:r w:rsidR="00D93E72" w:rsidRPr="001274D2">
        <w:rPr>
          <w:noProof/>
        </w:rPr>
        <w:t xml:space="preserve"> 1 is amended as follows:</w:t>
      </w:r>
    </w:p>
    <w:p w14:paraId="3ADBC44A" w14:textId="0893111C" w:rsidR="00D93E72" w:rsidRPr="001274D2" w:rsidDel="00EE7D1E" w:rsidRDefault="00A14403" w:rsidP="00A14403">
      <w:pPr>
        <w:ind w:left="567"/>
        <w:rPr>
          <w:noProof/>
        </w:rPr>
      </w:pPr>
      <w:r w:rsidRPr="001274D2">
        <w:rPr>
          <w:noProof/>
        </w:rPr>
        <w:t>(a)</w:t>
      </w:r>
      <w:r w:rsidRPr="001274D2">
        <w:rPr>
          <w:noProof/>
        </w:rPr>
        <w:tab/>
      </w:r>
      <w:r w:rsidR="00D93E72" w:rsidRPr="001274D2" w:rsidDel="7F73AA23">
        <w:rPr>
          <w:noProof/>
        </w:rPr>
        <w:t xml:space="preserve">the </w:t>
      </w:r>
      <w:r w:rsidR="00D93E72" w:rsidRPr="001274D2" w:rsidDel="7F73AA23">
        <w:t>introductory</w:t>
      </w:r>
      <w:r w:rsidR="00D93E72" w:rsidRPr="001274D2" w:rsidDel="7F73AA23">
        <w:rPr>
          <w:noProof/>
        </w:rPr>
        <w:t xml:space="preserve"> </w:t>
      </w:r>
      <w:r w:rsidR="00D93E72" w:rsidRPr="001274D2">
        <w:rPr>
          <w:noProof/>
        </w:rPr>
        <w:t>sentence</w:t>
      </w:r>
      <w:r w:rsidR="00D93E72" w:rsidRPr="001274D2" w:rsidDel="7F73AA23">
        <w:rPr>
          <w:noProof/>
        </w:rPr>
        <w:t xml:space="preserve"> is replaced by the following:</w:t>
      </w:r>
    </w:p>
    <w:p w14:paraId="1C06119E" w14:textId="77777777" w:rsidR="00D93E72" w:rsidRPr="001274D2" w:rsidRDefault="00D93E72" w:rsidP="00A14403">
      <w:pPr>
        <w:ind w:left="1134"/>
        <w:rPr>
          <w:noProof/>
        </w:rPr>
      </w:pPr>
      <w:r w:rsidRPr="001274D2" w:rsidDel="7F73AA23">
        <w:rPr>
          <w:noProof/>
        </w:rPr>
        <w:t>“1.</w:t>
      </w:r>
      <w:r w:rsidRPr="001274D2">
        <w:rPr>
          <w:noProof/>
        </w:rPr>
        <w:tab/>
      </w:r>
      <w:r w:rsidRPr="001274D2" w:rsidDel="7F73AA23">
        <w:rPr>
          <w:noProof/>
        </w:rPr>
        <w:t>In order to achieve the objective set out in Article 1(1) and in the cases provided for in Article 7(1)</w:t>
      </w:r>
      <w:r w:rsidRPr="001274D2">
        <w:rPr>
          <w:noProof/>
        </w:rPr>
        <w:t xml:space="preserve"> and Article 14a,</w:t>
      </w:r>
      <w:r w:rsidRPr="001274D2" w:rsidDel="0B85772F">
        <w:rPr>
          <w:noProof/>
        </w:rPr>
        <w:t xml:space="preserve"> the establishment, composition and competence of a European Works Council shall be governed by the following rules:</w:t>
      </w:r>
      <w:r w:rsidRPr="001274D2">
        <w:rPr>
          <w:noProof/>
        </w:rPr>
        <w:t>”;</w:t>
      </w:r>
    </w:p>
    <w:p w14:paraId="0AC8E626" w14:textId="35162DB1" w:rsidR="00C62715" w:rsidRPr="001274D2" w:rsidRDefault="00C62715" w:rsidP="00C62715">
      <w:pPr>
        <w:ind w:left="567"/>
        <w:rPr>
          <w:b/>
          <w:bCs/>
          <w:noProof/>
          <w:szCs w:val="24"/>
          <w:u w:val="single"/>
        </w:rPr>
      </w:pPr>
      <w:r w:rsidRPr="001274D2">
        <w:rPr>
          <w:b/>
          <w:bCs/>
          <w:noProof/>
          <w:szCs w:val="24"/>
          <w:u w:val="single"/>
        </w:rPr>
        <w:t>(</w:t>
      </w:r>
      <w:r w:rsidR="00C03628" w:rsidRPr="001274D2">
        <w:rPr>
          <w:b/>
          <w:bCs/>
          <w:noProof/>
          <w:szCs w:val="24"/>
          <w:u w:val="single"/>
        </w:rPr>
        <w:t>aa-new</w:t>
      </w:r>
      <w:r w:rsidRPr="001274D2">
        <w:rPr>
          <w:b/>
          <w:bCs/>
          <w:noProof/>
          <w:szCs w:val="24"/>
          <w:u w:val="single"/>
        </w:rPr>
        <w:t>)</w:t>
      </w:r>
      <w:r w:rsidRPr="001274D2">
        <w:rPr>
          <w:b/>
          <w:bCs/>
          <w:noProof/>
          <w:szCs w:val="24"/>
          <w:u w:val="single"/>
        </w:rPr>
        <w:tab/>
        <w:t xml:space="preserve">in </w:t>
      </w:r>
      <w:r w:rsidRPr="001274D2">
        <w:rPr>
          <w:b/>
          <w:bCs/>
          <w:szCs w:val="24"/>
          <w:u w:val="single"/>
        </w:rPr>
        <w:t>point</w:t>
      </w:r>
      <w:r w:rsidRPr="001274D2">
        <w:rPr>
          <w:b/>
          <w:bCs/>
          <w:noProof/>
          <w:szCs w:val="24"/>
          <w:u w:val="single"/>
        </w:rPr>
        <w:t xml:space="preserve"> (a), the </w:t>
      </w:r>
      <w:r w:rsidR="00C03628" w:rsidRPr="001274D2">
        <w:rPr>
          <w:b/>
          <w:bCs/>
          <w:noProof/>
          <w:szCs w:val="24"/>
          <w:u w:val="single"/>
        </w:rPr>
        <w:t>second</w:t>
      </w:r>
      <w:r w:rsidRPr="001274D2">
        <w:rPr>
          <w:b/>
          <w:bCs/>
          <w:noProof/>
          <w:szCs w:val="24"/>
          <w:u w:val="single"/>
        </w:rPr>
        <w:t xml:space="preserve"> subparagraph is replaced by the following:</w:t>
      </w:r>
    </w:p>
    <w:p w14:paraId="5831F4DA" w14:textId="2F8DA356" w:rsidR="00C62715" w:rsidRPr="001274D2" w:rsidRDefault="00C62715" w:rsidP="00C62715">
      <w:pPr>
        <w:ind w:left="1134"/>
        <w:rPr>
          <w:b/>
          <w:bCs/>
          <w:noProof/>
          <w:szCs w:val="24"/>
          <w:u w:val="single"/>
        </w:rPr>
      </w:pPr>
      <w:r w:rsidRPr="001274D2">
        <w:rPr>
          <w:b/>
          <w:bCs/>
          <w:noProof/>
          <w:szCs w:val="24"/>
          <w:u w:val="single"/>
        </w:rPr>
        <w:t>“</w:t>
      </w:r>
      <w:r w:rsidR="008B7A6B" w:rsidRPr="001274D2">
        <w:rPr>
          <w:b/>
          <w:bCs/>
          <w:color w:val="231F20"/>
          <w:szCs w:val="24"/>
          <w:u w:val="single"/>
        </w:rPr>
        <w:t>The information of the European Works Council shall relate in particular</w:t>
      </w:r>
      <w:r w:rsidR="008B7A6B" w:rsidRPr="001274D2">
        <w:rPr>
          <w:b/>
          <w:bCs/>
          <w:color w:val="231F20"/>
          <w:spacing w:val="80"/>
          <w:szCs w:val="24"/>
          <w:u w:val="single"/>
        </w:rPr>
        <w:t xml:space="preserve"> </w:t>
      </w:r>
      <w:r w:rsidR="008B7A6B" w:rsidRPr="001274D2">
        <w:rPr>
          <w:b/>
          <w:bCs/>
          <w:color w:val="231F20"/>
          <w:szCs w:val="24"/>
          <w:u w:val="single"/>
        </w:rPr>
        <w:t>to the structure, economic and financial situation, probable development</w:t>
      </w:r>
      <w:r w:rsidR="008B7A6B" w:rsidRPr="001274D2">
        <w:rPr>
          <w:b/>
          <w:bCs/>
          <w:color w:val="231F20"/>
          <w:spacing w:val="40"/>
          <w:szCs w:val="24"/>
          <w:u w:val="single"/>
        </w:rPr>
        <w:t xml:space="preserve"> </w:t>
      </w:r>
      <w:r w:rsidR="008B7A6B" w:rsidRPr="001274D2">
        <w:rPr>
          <w:b/>
          <w:bCs/>
          <w:color w:val="231F20"/>
          <w:szCs w:val="24"/>
          <w:u w:val="single"/>
        </w:rPr>
        <w:t>and production and sales of the Community-scale undertaking or group of undertakings. The information and consultation of the European Works Council shall relate in particular to the situation and probable trend of employment, investments, and substantial changes concerning organisation</w:t>
      </w:r>
      <w:r w:rsidR="007B2404" w:rsidRPr="001274D2">
        <w:rPr>
          <w:b/>
          <w:bCs/>
          <w:color w:val="231F20"/>
          <w:szCs w:val="24"/>
          <w:u w:val="single"/>
        </w:rPr>
        <w:t xml:space="preserve">, anticipation of change </w:t>
      </w:r>
      <w:r w:rsidR="00E945CA" w:rsidRPr="001274D2">
        <w:rPr>
          <w:b/>
          <w:bCs/>
          <w:color w:val="231F20"/>
          <w:szCs w:val="24"/>
          <w:u w:val="single"/>
        </w:rPr>
        <w:t xml:space="preserve">and management of </w:t>
      </w:r>
      <w:r w:rsidR="00C81FFD" w:rsidRPr="001274D2">
        <w:rPr>
          <w:b/>
          <w:bCs/>
          <w:color w:val="231F20"/>
          <w:szCs w:val="24"/>
          <w:u w:val="single"/>
        </w:rPr>
        <w:t>restructuring processes including those linked to the green and digital transitions</w:t>
      </w:r>
      <w:r w:rsidR="008B7A6B" w:rsidRPr="001274D2">
        <w:rPr>
          <w:b/>
          <w:bCs/>
          <w:color w:val="231F20"/>
          <w:szCs w:val="24"/>
          <w:u w:val="single"/>
        </w:rPr>
        <w:t>, introduction of new working methods or production processes, transfers of production, mergers, cut-backs or closures of undertakings, establishments</w:t>
      </w:r>
      <w:r w:rsidR="008B7A6B" w:rsidRPr="001274D2">
        <w:rPr>
          <w:b/>
          <w:bCs/>
          <w:color w:val="231F20"/>
          <w:spacing w:val="40"/>
          <w:szCs w:val="24"/>
          <w:u w:val="single"/>
        </w:rPr>
        <w:t xml:space="preserve"> </w:t>
      </w:r>
      <w:r w:rsidR="008B7A6B" w:rsidRPr="001274D2">
        <w:rPr>
          <w:b/>
          <w:bCs/>
          <w:color w:val="231F20"/>
          <w:szCs w:val="24"/>
          <w:u w:val="single"/>
        </w:rPr>
        <w:t>or</w:t>
      </w:r>
      <w:r w:rsidR="008B7A6B" w:rsidRPr="001274D2">
        <w:rPr>
          <w:b/>
          <w:bCs/>
          <w:color w:val="231F20"/>
          <w:spacing w:val="40"/>
          <w:szCs w:val="24"/>
          <w:u w:val="single"/>
        </w:rPr>
        <w:t xml:space="preserve"> </w:t>
      </w:r>
      <w:r w:rsidR="008B7A6B" w:rsidRPr="001274D2">
        <w:rPr>
          <w:b/>
          <w:bCs/>
          <w:color w:val="231F20"/>
          <w:szCs w:val="24"/>
          <w:u w:val="single"/>
        </w:rPr>
        <w:t>important</w:t>
      </w:r>
      <w:r w:rsidR="008B7A6B" w:rsidRPr="001274D2">
        <w:rPr>
          <w:b/>
          <w:bCs/>
          <w:color w:val="231F20"/>
          <w:spacing w:val="40"/>
          <w:szCs w:val="24"/>
          <w:u w:val="single"/>
        </w:rPr>
        <w:t xml:space="preserve"> </w:t>
      </w:r>
      <w:r w:rsidR="008B7A6B" w:rsidRPr="001274D2">
        <w:rPr>
          <w:b/>
          <w:bCs/>
          <w:color w:val="231F20"/>
          <w:szCs w:val="24"/>
          <w:u w:val="single"/>
        </w:rPr>
        <w:t>parts</w:t>
      </w:r>
      <w:r w:rsidR="008B7A6B" w:rsidRPr="001274D2">
        <w:rPr>
          <w:b/>
          <w:bCs/>
          <w:color w:val="231F20"/>
          <w:spacing w:val="40"/>
          <w:szCs w:val="24"/>
          <w:u w:val="single"/>
        </w:rPr>
        <w:t xml:space="preserve"> </w:t>
      </w:r>
      <w:r w:rsidR="008B7A6B" w:rsidRPr="001274D2">
        <w:rPr>
          <w:b/>
          <w:bCs/>
          <w:color w:val="231F20"/>
          <w:szCs w:val="24"/>
          <w:u w:val="single"/>
        </w:rPr>
        <w:t>thereof, and</w:t>
      </w:r>
      <w:r w:rsidR="008B7A6B" w:rsidRPr="001274D2">
        <w:rPr>
          <w:b/>
          <w:bCs/>
          <w:color w:val="231F20"/>
          <w:spacing w:val="40"/>
          <w:szCs w:val="24"/>
          <w:u w:val="single"/>
        </w:rPr>
        <w:t xml:space="preserve"> </w:t>
      </w:r>
      <w:r w:rsidR="008B7A6B" w:rsidRPr="001274D2">
        <w:rPr>
          <w:b/>
          <w:bCs/>
          <w:color w:val="231F20"/>
          <w:szCs w:val="24"/>
          <w:u w:val="single"/>
        </w:rPr>
        <w:t>collective redundancies</w:t>
      </w:r>
      <w:r w:rsidRPr="001274D2">
        <w:rPr>
          <w:b/>
          <w:bCs/>
          <w:noProof/>
          <w:szCs w:val="24"/>
          <w:u w:val="single"/>
        </w:rPr>
        <w:t>;”;</w:t>
      </w:r>
    </w:p>
    <w:p w14:paraId="2FDE9FDC" w14:textId="1B41E331" w:rsidR="00D93E72" w:rsidRPr="001274D2" w:rsidRDefault="00E10EBB" w:rsidP="0074242E">
      <w:pPr>
        <w:ind w:left="567"/>
        <w:rPr>
          <w:noProof/>
        </w:rPr>
      </w:pPr>
      <w:r w:rsidRPr="001274D2">
        <w:rPr>
          <w:noProof/>
        </w:rPr>
        <w:br w:type="page"/>
      </w:r>
      <w:r w:rsidR="00A14403" w:rsidRPr="001274D2">
        <w:rPr>
          <w:noProof/>
        </w:rPr>
        <w:t>(b)</w:t>
      </w:r>
      <w:r w:rsidR="00A14403" w:rsidRPr="001274D2">
        <w:rPr>
          <w:noProof/>
        </w:rPr>
        <w:tab/>
      </w:r>
      <w:r w:rsidR="00D93E72" w:rsidRPr="001274D2">
        <w:rPr>
          <w:noProof/>
        </w:rPr>
        <w:t xml:space="preserve">in </w:t>
      </w:r>
      <w:r w:rsidR="00D93E72" w:rsidRPr="001274D2">
        <w:t>point</w:t>
      </w:r>
      <w:r w:rsidR="00D93E72" w:rsidRPr="001274D2">
        <w:rPr>
          <w:noProof/>
        </w:rPr>
        <w:t xml:space="preserve"> (a), the third </w:t>
      </w:r>
      <w:r w:rsidR="00D93E72" w:rsidRPr="001274D2">
        <w:t>subparagraph</w:t>
      </w:r>
      <w:r w:rsidR="00D93E72" w:rsidRPr="001274D2">
        <w:rPr>
          <w:noProof/>
        </w:rPr>
        <w:t xml:space="preserve"> is replaced by the following:</w:t>
      </w:r>
    </w:p>
    <w:p w14:paraId="0AA77D03" w14:textId="77777777" w:rsidR="00D93E72" w:rsidRPr="001274D2" w:rsidRDefault="00D93E72" w:rsidP="00A14403">
      <w:pPr>
        <w:ind w:left="1134"/>
        <w:rPr>
          <w:noProof/>
        </w:rPr>
      </w:pPr>
      <w:r w:rsidRPr="001274D2">
        <w:rPr>
          <w:noProof/>
        </w:rPr>
        <w:t>“The consultation shall be conducted in such a way that the employees’ representatives can meet with the central management or any more appropriate level of management. The employees’ representatives shall be entitled to a reasoned written response to any opinion they might express prior to the adoption of the decision on the measures in question, provided their opinion was expressed within a reasonable time;”;</w:t>
      </w:r>
    </w:p>
    <w:p w14:paraId="56739782" w14:textId="67FAA2E5" w:rsidR="00D93E72" w:rsidRPr="001274D2" w:rsidRDefault="00A14403" w:rsidP="00A14403">
      <w:pPr>
        <w:ind w:left="567"/>
        <w:rPr>
          <w:noProof/>
        </w:rPr>
      </w:pPr>
      <w:r w:rsidRPr="001274D2">
        <w:rPr>
          <w:noProof/>
        </w:rPr>
        <w:t>(c)</w:t>
      </w:r>
      <w:r w:rsidRPr="001274D2">
        <w:rPr>
          <w:noProof/>
        </w:rPr>
        <w:tab/>
      </w:r>
      <w:r w:rsidR="00D93E72" w:rsidRPr="001274D2">
        <w:rPr>
          <w:b/>
          <w:bCs/>
          <w:noProof/>
        </w:rPr>
        <w:t>in</w:t>
      </w:r>
      <w:r w:rsidR="00D93E72" w:rsidRPr="001274D2">
        <w:rPr>
          <w:noProof/>
        </w:rPr>
        <w:t xml:space="preserve"> </w:t>
      </w:r>
      <w:r w:rsidR="00D93E72" w:rsidRPr="001274D2">
        <w:rPr>
          <w:b/>
          <w:bCs/>
          <w:noProof/>
        </w:rPr>
        <w:t>[…]</w:t>
      </w:r>
      <w:r w:rsidR="00D93E72" w:rsidRPr="001274D2">
        <w:rPr>
          <w:noProof/>
        </w:rPr>
        <w:t xml:space="preserve"> point (</w:t>
      </w:r>
      <w:r w:rsidR="00D93E72" w:rsidRPr="001274D2">
        <w:rPr>
          <w:b/>
          <w:bCs/>
          <w:noProof/>
        </w:rPr>
        <w:t>b</w:t>
      </w:r>
      <w:r w:rsidR="00D93E72" w:rsidRPr="001274D2">
        <w:rPr>
          <w:noProof/>
        </w:rPr>
        <w:t xml:space="preserve">) is </w:t>
      </w:r>
      <w:r w:rsidR="00D93E72" w:rsidRPr="001274D2">
        <w:t>inserted</w:t>
      </w:r>
      <w:r w:rsidR="00D93E72" w:rsidRPr="001274D2">
        <w:rPr>
          <w:noProof/>
        </w:rPr>
        <w:t xml:space="preserve"> after the </w:t>
      </w:r>
      <w:r w:rsidR="00D93E72" w:rsidRPr="001274D2">
        <w:rPr>
          <w:b/>
          <w:bCs/>
          <w:noProof/>
        </w:rPr>
        <w:t>fi</w:t>
      </w:r>
      <w:r w:rsidR="00AD1795" w:rsidRPr="001274D2">
        <w:rPr>
          <w:b/>
          <w:bCs/>
          <w:noProof/>
        </w:rPr>
        <w:t>r</w:t>
      </w:r>
      <w:r w:rsidR="00D93E72" w:rsidRPr="001274D2">
        <w:rPr>
          <w:b/>
          <w:bCs/>
          <w:noProof/>
        </w:rPr>
        <w:t>st paragraph</w:t>
      </w:r>
      <w:r w:rsidR="00D93E72" w:rsidRPr="001274D2">
        <w:rPr>
          <w:noProof/>
        </w:rPr>
        <w:t>:</w:t>
      </w:r>
    </w:p>
    <w:p w14:paraId="2B8831A4" w14:textId="77777777" w:rsidR="00D93E72" w:rsidRPr="001274D2" w:rsidRDefault="00D93E72" w:rsidP="00A14403">
      <w:pPr>
        <w:ind w:left="1134"/>
        <w:rPr>
          <w:noProof/>
        </w:rPr>
      </w:pPr>
      <w:r w:rsidRPr="001274D2">
        <w:rPr>
          <w:noProof/>
        </w:rPr>
        <w:t>“</w:t>
      </w:r>
      <w:r w:rsidRPr="001274D2">
        <w:rPr>
          <w:b/>
          <w:bCs/>
          <w:noProof/>
        </w:rPr>
        <w:t xml:space="preserve">[…] In doing so and </w:t>
      </w:r>
      <w:r w:rsidRPr="001274D2">
        <w:rPr>
          <w:noProof/>
        </w:rPr>
        <w:t>as far as possible, women and men shall each comprise at least 40% of European Works Council members and of select committee members;”;</w:t>
      </w:r>
    </w:p>
    <w:p w14:paraId="22E52B22" w14:textId="6087FB34" w:rsidR="00D93E72" w:rsidRPr="001274D2" w:rsidRDefault="00A14403" w:rsidP="00A14403">
      <w:pPr>
        <w:pStyle w:val="PointManual"/>
        <w:rPr>
          <w:noProof/>
        </w:rPr>
      </w:pPr>
      <w:r w:rsidRPr="001274D2">
        <w:rPr>
          <w:noProof/>
        </w:rPr>
        <w:t>(</w:t>
      </w:r>
      <w:r w:rsidR="00A67061" w:rsidRPr="001274D2">
        <w:rPr>
          <w:noProof/>
        </w:rPr>
        <w:t>2</w:t>
      </w:r>
      <w:r w:rsidRPr="001274D2">
        <w:rPr>
          <w:noProof/>
        </w:rPr>
        <w:t>)</w:t>
      </w:r>
      <w:r w:rsidRPr="001274D2">
        <w:rPr>
          <w:noProof/>
        </w:rPr>
        <w:tab/>
      </w:r>
      <w:r w:rsidR="00D93E72" w:rsidRPr="001274D2">
        <w:rPr>
          <w:noProof/>
        </w:rPr>
        <w:t>point 2 is replaced by the following:</w:t>
      </w:r>
    </w:p>
    <w:p w14:paraId="4CB486ED" w14:textId="77777777" w:rsidR="00D93E72" w:rsidRPr="001274D2" w:rsidRDefault="00D93E72" w:rsidP="00A14403">
      <w:pPr>
        <w:ind w:left="567"/>
        <w:rPr>
          <w:noProof/>
        </w:rPr>
      </w:pPr>
      <w:r w:rsidRPr="001274D2">
        <w:rPr>
          <w:noProof/>
        </w:rPr>
        <w:t>“2.</w:t>
      </w:r>
      <w:r w:rsidRPr="001274D2">
        <w:rPr>
          <w:noProof/>
        </w:rPr>
        <w:tab/>
        <w:t xml:space="preserve">The European Works Council shall have the right to meet with the central management twice a year, to be informed and consulted, on the basis of a report drawn up by the central management, on the progress of the business of the Community-scale undertaking or Community-scale group of undertakings and its prospects. </w:t>
      </w:r>
      <w:r w:rsidRPr="001274D2">
        <w:rPr>
          <w:b/>
          <w:bCs/>
          <w:noProof/>
          <w:lang w:val="en-US"/>
        </w:rPr>
        <w:t>At least one meeting per year shall be held in person.</w:t>
      </w:r>
      <w:r w:rsidRPr="001274D2">
        <w:rPr>
          <w:noProof/>
          <w:lang w:val="en-US"/>
        </w:rPr>
        <w:t xml:space="preserve"> </w:t>
      </w:r>
      <w:r w:rsidRPr="001274D2">
        <w:rPr>
          <w:noProof/>
        </w:rPr>
        <w:t>The local managements shall be informed accordingly.”;</w:t>
      </w:r>
    </w:p>
    <w:p w14:paraId="44A90831" w14:textId="2DFC9D53" w:rsidR="00D93E72" w:rsidRPr="001274D2" w:rsidRDefault="00E10EBB" w:rsidP="0074242E">
      <w:pPr>
        <w:spacing w:before="0" w:after="200" w:line="276" w:lineRule="auto"/>
        <w:rPr>
          <w:noProof/>
        </w:rPr>
      </w:pPr>
      <w:r w:rsidRPr="001274D2">
        <w:rPr>
          <w:noProof/>
        </w:rPr>
        <w:br w:type="page"/>
      </w:r>
      <w:r w:rsidR="00A14403" w:rsidRPr="001274D2">
        <w:rPr>
          <w:noProof/>
        </w:rPr>
        <w:t>(</w:t>
      </w:r>
      <w:r w:rsidR="00A67061" w:rsidRPr="001274D2">
        <w:rPr>
          <w:noProof/>
        </w:rPr>
        <w:t>3</w:t>
      </w:r>
      <w:r w:rsidR="00A14403" w:rsidRPr="001274D2">
        <w:rPr>
          <w:noProof/>
        </w:rPr>
        <w:t>)</w:t>
      </w:r>
      <w:r w:rsidR="00A14403" w:rsidRPr="001274D2">
        <w:rPr>
          <w:noProof/>
        </w:rPr>
        <w:tab/>
      </w:r>
      <w:r w:rsidR="00D93E72" w:rsidRPr="001274D2">
        <w:rPr>
          <w:noProof/>
        </w:rPr>
        <w:t>in point 3, the first and second subparagraphs are replaced by the following:</w:t>
      </w:r>
    </w:p>
    <w:p w14:paraId="23AC0E54" w14:textId="77777777" w:rsidR="00D93E72" w:rsidRPr="001274D2" w:rsidRDefault="00D93E72" w:rsidP="00A14403">
      <w:pPr>
        <w:ind w:left="567"/>
        <w:rPr>
          <w:noProof/>
        </w:rPr>
      </w:pPr>
      <w:r w:rsidRPr="001274D2">
        <w:rPr>
          <w:noProof/>
        </w:rPr>
        <w:t>“3</w:t>
      </w:r>
      <w:r w:rsidRPr="001274D2">
        <w:rPr>
          <w:noProof/>
        </w:rPr>
        <w:tab/>
        <w:t xml:space="preserve">Where there are exceptional circumstances or decisions which are </w:t>
      </w:r>
      <w:r w:rsidRPr="001274D2">
        <w:rPr>
          <w:b/>
          <w:bCs/>
          <w:noProof/>
        </w:rPr>
        <w:t>reasonably to be expected</w:t>
      </w:r>
      <w:r w:rsidRPr="001274D2">
        <w:rPr>
          <w:noProof/>
        </w:rPr>
        <w:t xml:space="preserve"> to affect the employees’ interests to a considerable extent, and urgency does not allow for information or consultation to take place at the following scheduled European Works Council meeting, particularly in the event of relocations, the closure of establishments or undertakings or collective redundancies, the select committee or, where no such committee exists, the European Works Council, shall have the right to be informed in a timely manner. It shall have the right to meet, at its request, the central management, or any other more appropriate level of management within the Community-scale undertaking or group of undertakings having its own powers of decision, in order to be informed and consulted.</w:t>
      </w:r>
    </w:p>
    <w:p w14:paraId="1AAE6DC8" w14:textId="77777777" w:rsidR="00D93E72" w:rsidRPr="001274D2" w:rsidRDefault="00D93E72" w:rsidP="00A14403">
      <w:pPr>
        <w:ind w:left="567"/>
        <w:rPr>
          <w:noProof/>
        </w:rPr>
      </w:pPr>
      <w:r w:rsidRPr="001274D2">
        <w:rPr>
          <w:noProof/>
        </w:rPr>
        <w:t>Those members of the European Works Council who have been elected or appointed by the establishments and/or undertakings which are directly concerned or can reasonably be expected to be directly concerned by the circumstances or decisions in question shall also have the right to participate where a meeting is organised with the select committee.”;</w:t>
      </w:r>
    </w:p>
    <w:p w14:paraId="30B64D27" w14:textId="3BABA2BF" w:rsidR="00D93E72" w:rsidRPr="001274D2" w:rsidRDefault="00A14403" w:rsidP="00A14403">
      <w:pPr>
        <w:pStyle w:val="PointManual"/>
        <w:rPr>
          <w:noProof/>
        </w:rPr>
      </w:pPr>
      <w:r w:rsidRPr="001274D2">
        <w:rPr>
          <w:noProof/>
        </w:rPr>
        <w:t>(</w:t>
      </w:r>
      <w:r w:rsidR="00A67061" w:rsidRPr="001274D2">
        <w:rPr>
          <w:noProof/>
        </w:rPr>
        <w:t>4</w:t>
      </w:r>
      <w:r w:rsidRPr="001274D2">
        <w:rPr>
          <w:noProof/>
        </w:rPr>
        <w:t>)</w:t>
      </w:r>
      <w:r w:rsidRPr="001274D2">
        <w:rPr>
          <w:noProof/>
        </w:rPr>
        <w:tab/>
      </w:r>
      <w:r w:rsidR="00D93E72" w:rsidRPr="001274D2">
        <w:rPr>
          <w:noProof/>
        </w:rPr>
        <w:t>in point 5, the following sentences are added:</w:t>
      </w:r>
    </w:p>
    <w:p w14:paraId="5CBA8D2F" w14:textId="77777777" w:rsidR="00D93E72" w:rsidRPr="001274D2" w:rsidRDefault="00D93E72" w:rsidP="00A14403">
      <w:pPr>
        <w:ind w:left="567"/>
        <w:rPr>
          <w:noProof/>
        </w:rPr>
      </w:pPr>
      <w:r w:rsidRPr="001274D2">
        <w:rPr>
          <w:noProof/>
        </w:rPr>
        <w:t>“Such experts may include representatives of recognised Union-level trade union organisations. At the request of the European Works Council, such experts shall have a right to be present at meetings of the European Works Council and meetings with the central management in an advisory capacity. The central management shall be informed in advance.”;</w:t>
      </w:r>
    </w:p>
    <w:p w14:paraId="7BC730DE" w14:textId="685265FF" w:rsidR="00D93E72" w:rsidRPr="001274D2" w:rsidRDefault="00A14403" w:rsidP="00A14403">
      <w:pPr>
        <w:pStyle w:val="PointManual"/>
        <w:rPr>
          <w:noProof/>
        </w:rPr>
      </w:pPr>
      <w:r w:rsidRPr="001274D2">
        <w:rPr>
          <w:noProof/>
        </w:rPr>
        <w:br w:type="page"/>
        <w:t>(</w:t>
      </w:r>
      <w:r w:rsidR="00A67061" w:rsidRPr="001274D2">
        <w:rPr>
          <w:noProof/>
        </w:rPr>
        <w:t>5</w:t>
      </w:r>
      <w:r w:rsidRPr="001274D2">
        <w:rPr>
          <w:noProof/>
        </w:rPr>
        <w:t>)</w:t>
      </w:r>
      <w:r w:rsidRPr="001274D2">
        <w:rPr>
          <w:noProof/>
        </w:rPr>
        <w:tab/>
      </w:r>
      <w:r w:rsidR="00D93E72" w:rsidRPr="001274D2">
        <w:rPr>
          <w:noProof/>
        </w:rPr>
        <w:t>point 6 is amended as follows:</w:t>
      </w:r>
    </w:p>
    <w:p w14:paraId="23AAAAF6" w14:textId="77777777" w:rsidR="00D93E72" w:rsidRPr="001274D2" w:rsidRDefault="00D93E72" w:rsidP="00A14403">
      <w:pPr>
        <w:tabs>
          <w:tab w:val="num" w:pos="1417"/>
        </w:tabs>
        <w:ind w:left="567"/>
        <w:rPr>
          <w:noProof/>
        </w:rPr>
      </w:pPr>
      <w:r w:rsidRPr="001274D2">
        <w:rPr>
          <w:noProof/>
        </w:rPr>
        <w:t>the following subparagraph is inserted between the third and fourth subparagraphs:</w:t>
      </w:r>
    </w:p>
    <w:p w14:paraId="656D7203" w14:textId="63A4030D" w:rsidR="00D93E72" w:rsidRPr="001274D2" w:rsidRDefault="00D93E72" w:rsidP="00A14403">
      <w:pPr>
        <w:tabs>
          <w:tab w:val="num" w:pos="1417"/>
        </w:tabs>
        <w:ind w:left="1134"/>
        <w:rPr>
          <w:noProof/>
        </w:rPr>
      </w:pPr>
      <w:r w:rsidRPr="001274D2">
        <w:rPr>
          <w:noProof/>
        </w:rPr>
        <w:t xml:space="preserve">“The operating expenses of the European Works Council shall include reasonable costs of legal assistance </w:t>
      </w:r>
      <w:r w:rsidRPr="001274D2">
        <w:rPr>
          <w:b/>
          <w:bCs/>
          <w:noProof/>
        </w:rPr>
        <w:t>[…]</w:t>
      </w:r>
      <w:r w:rsidRPr="001274D2">
        <w:rPr>
          <w:noProof/>
        </w:rPr>
        <w:t>. Operating expenses shall be notified to central management before they are incurred.”;</w:t>
      </w:r>
    </w:p>
    <w:p w14:paraId="32BBC458" w14:textId="77777777" w:rsidR="00D93E72" w:rsidRPr="001274D2" w:rsidRDefault="00D93E72" w:rsidP="00A14403">
      <w:pPr>
        <w:tabs>
          <w:tab w:val="num" w:pos="1417"/>
        </w:tabs>
        <w:ind w:left="567"/>
        <w:rPr>
          <w:noProof/>
        </w:rPr>
      </w:pPr>
      <w:r w:rsidRPr="001274D2">
        <w:rPr>
          <w:noProof/>
        </w:rPr>
        <w:t>the fourth subparagraph is replaced by the following:</w:t>
      </w:r>
    </w:p>
    <w:p w14:paraId="686822FB" w14:textId="77777777" w:rsidR="00D93E72" w:rsidRPr="00D93E72" w:rsidRDefault="00D93E72" w:rsidP="00A14403">
      <w:pPr>
        <w:tabs>
          <w:tab w:val="num" w:pos="1417"/>
        </w:tabs>
        <w:ind w:left="1134"/>
        <w:rPr>
          <w:noProof/>
        </w:rPr>
      </w:pPr>
      <w:r w:rsidRPr="001274D2">
        <w:rPr>
          <w:noProof/>
        </w:rPr>
        <w:t>“In compliance with these principles, the Member States may lay down budgetary rules regarding the operation of the European Works Council.”</w:t>
      </w:r>
    </w:p>
    <w:p w14:paraId="1C7D2DFF" w14:textId="545E20EB" w:rsidR="00772954" w:rsidRPr="00D93E72" w:rsidRDefault="00772954" w:rsidP="00D93E72">
      <w:pPr>
        <w:pStyle w:val="FinalLine"/>
      </w:pPr>
    </w:p>
    <w:sectPr w:rsidR="00772954" w:rsidRPr="00D93E72" w:rsidSect="00E55F0E">
      <w:headerReference w:type="default" r:id="rId17"/>
      <w:footerReference w:type="default" r:id="rId18"/>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8ACD" w14:textId="77777777" w:rsidR="008E428D" w:rsidRDefault="008E428D" w:rsidP="001B675E">
      <w:pPr>
        <w:spacing w:before="0" w:after="0" w:line="240" w:lineRule="auto"/>
      </w:pPr>
      <w:r>
        <w:separator/>
      </w:r>
    </w:p>
  </w:endnote>
  <w:endnote w:type="continuationSeparator" w:id="0">
    <w:p w14:paraId="5D07B340" w14:textId="77777777" w:rsidR="008E428D" w:rsidRDefault="008E428D" w:rsidP="001B675E">
      <w:pPr>
        <w:spacing w:before="0" w:after="0" w:line="240" w:lineRule="auto"/>
      </w:pPr>
      <w:r>
        <w:continuationSeparator/>
      </w:r>
    </w:p>
  </w:endnote>
  <w:endnote w:type="continuationNotice" w:id="1">
    <w:p w14:paraId="1097005B" w14:textId="77777777" w:rsidR="008E428D" w:rsidRDefault="008E42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7754" w14:textId="77777777" w:rsidR="005935C6" w:rsidRPr="00E55F0E" w:rsidRDefault="005935C6" w:rsidP="00E5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55F0E" w:rsidRPr="00D94637" w14:paraId="118004D6" w14:textId="77777777" w:rsidTr="00E55F0E">
      <w:trPr>
        <w:jc w:val="center"/>
      </w:trPr>
      <w:tc>
        <w:tcPr>
          <w:tcW w:w="5000" w:type="pct"/>
          <w:gridSpan w:val="7"/>
          <w:shd w:val="clear" w:color="auto" w:fill="auto"/>
          <w:tcMar>
            <w:top w:w="57" w:type="dxa"/>
          </w:tcMar>
        </w:tcPr>
        <w:p w14:paraId="5E76E019" w14:textId="77777777" w:rsidR="00E55F0E" w:rsidRPr="00D94637" w:rsidRDefault="00E55F0E" w:rsidP="00D94637">
          <w:pPr>
            <w:pStyle w:val="FooterText"/>
            <w:pBdr>
              <w:top w:val="single" w:sz="4" w:space="1" w:color="auto"/>
            </w:pBdr>
            <w:spacing w:before="200"/>
            <w:rPr>
              <w:sz w:val="2"/>
              <w:szCs w:val="2"/>
            </w:rPr>
          </w:pPr>
          <w:bookmarkStart w:id="1" w:name="FOOTER_STANDARD"/>
        </w:p>
      </w:tc>
    </w:tr>
    <w:tr w:rsidR="00E55F0E" w:rsidRPr="00B310DC" w14:paraId="1F8E45C4" w14:textId="77777777" w:rsidTr="00E55F0E">
      <w:trPr>
        <w:jc w:val="center"/>
      </w:trPr>
      <w:tc>
        <w:tcPr>
          <w:tcW w:w="2500" w:type="pct"/>
          <w:gridSpan w:val="2"/>
          <w:shd w:val="clear" w:color="auto" w:fill="auto"/>
          <w:tcMar>
            <w:top w:w="0" w:type="dxa"/>
          </w:tcMar>
        </w:tcPr>
        <w:p w14:paraId="774652D7" w14:textId="2C15864B" w:rsidR="00E55F0E" w:rsidRPr="00AD7BF2" w:rsidRDefault="00E55F0E" w:rsidP="004F54B2">
          <w:pPr>
            <w:pStyle w:val="FooterText"/>
          </w:pPr>
          <w:r>
            <w:t>9079/24</w:t>
          </w:r>
          <w:r w:rsidRPr="002511D8">
            <w:t xml:space="preserve"> </w:t>
          </w:r>
        </w:p>
      </w:tc>
      <w:tc>
        <w:tcPr>
          <w:tcW w:w="625" w:type="pct"/>
          <w:shd w:val="clear" w:color="auto" w:fill="auto"/>
          <w:tcMar>
            <w:top w:w="0" w:type="dxa"/>
          </w:tcMar>
        </w:tcPr>
        <w:p w14:paraId="5FE4FEC9" w14:textId="77777777" w:rsidR="00E55F0E" w:rsidRPr="00AD7BF2" w:rsidRDefault="00E55F0E" w:rsidP="00D94637">
          <w:pPr>
            <w:pStyle w:val="FooterText"/>
            <w:jc w:val="center"/>
          </w:pPr>
        </w:p>
      </w:tc>
      <w:tc>
        <w:tcPr>
          <w:tcW w:w="1286" w:type="pct"/>
          <w:gridSpan w:val="3"/>
          <w:shd w:val="clear" w:color="auto" w:fill="auto"/>
          <w:tcMar>
            <w:top w:w="0" w:type="dxa"/>
          </w:tcMar>
        </w:tcPr>
        <w:p w14:paraId="6F0F4872" w14:textId="0B35578C" w:rsidR="00E55F0E" w:rsidRPr="002511D8" w:rsidRDefault="00E55F0E" w:rsidP="00D94637">
          <w:pPr>
            <w:pStyle w:val="FooterText"/>
            <w:jc w:val="center"/>
          </w:pPr>
          <w:r>
            <w:t>RS/ads</w:t>
          </w:r>
        </w:p>
      </w:tc>
      <w:tc>
        <w:tcPr>
          <w:tcW w:w="589" w:type="pct"/>
          <w:shd w:val="clear" w:color="auto" w:fill="auto"/>
          <w:tcMar>
            <w:top w:w="0" w:type="dxa"/>
          </w:tcMar>
        </w:tcPr>
        <w:p w14:paraId="385B3F0A" w14:textId="2DD1264D" w:rsidR="00E55F0E" w:rsidRPr="00B310DC" w:rsidRDefault="00E55F0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E55F0E" w:rsidRPr="00D94637" w14:paraId="6D39356C" w14:textId="77777777" w:rsidTr="00E55F0E">
      <w:trPr>
        <w:jc w:val="center"/>
      </w:trPr>
      <w:tc>
        <w:tcPr>
          <w:tcW w:w="1774" w:type="pct"/>
          <w:shd w:val="clear" w:color="auto" w:fill="auto"/>
        </w:tcPr>
        <w:p w14:paraId="30172F98" w14:textId="2C6F8A72" w:rsidR="00E55F0E" w:rsidRPr="00AD7BF2" w:rsidRDefault="00E55F0E" w:rsidP="00D94637">
          <w:pPr>
            <w:pStyle w:val="FooterText"/>
            <w:spacing w:before="40"/>
          </w:pPr>
        </w:p>
      </w:tc>
      <w:tc>
        <w:tcPr>
          <w:tcW w:w="1455" w:type="pct"/>
          <w:gridSpan w:val="3"/>
          <w:shd w:val="clear" w:color="auto" w:fill="auto"/>
        </w:tcPr>
        <w:p w14:paraId="0489A753" w14:textId="0079B654" w:rsidR="00E55F0E" w:rsidRPr="00AD7BF2" w:rsidRDefault="00E55F0E" w:rsidP="00D204D6">
          <w:pPr>
            <w:pStyle w:val="FooterText"/>
            <w:spacing w:before="40"/>
            <w:jc w:val="center"/>
          </w:pPr>
          <w:r>
            <w:t>LIFE.4</w:t>
          </w:r>
        </w:p>
      </w:tc>
      <w:tc>
        <w:tcPr>
          <w:tcW w:w="742" w:type="pct"/>
          <w:shd w:val="clear" w:color="auto" w:fill="auto"/>
        </w:tcPr>
        <w:p w14:paraId="2FE4CB1C" w14:textId="7A4F15C5" w:rsidR="00E55F0E" w:rsidRPr="00D94637" w:rsidRDefault="00E55F0E" w:rsidP="002F0099">
          <w:pPr>
            <w:pStyle w:val="FooterText"/>
            <w:jc w:val="center"/>
            <w:rPr>
              <w:b/>
              <w:position w:val="-4"/>
              <w:sz w:val="36"/>
            </w:rPr>
          </w:pPr>
          <w:r>
            <w:rPr>
              <w:b/>
              <w:position w:val="-4"/>
              <w:sz w:val="36"/>
            </w:rPr>
            <w:t>LIMITE</w:t>
          </w:r>
        </w:p>
      </w:tc>
      <w:tc>
        <w:tcPr>
          <w:tcW w:w="1029" w:type="pct"/>
          <w:gridSpan w:val="2"/>
          <w:shd w:val="clear" w:color="auto" w:fill="auto"/>
        </w:tcPr>
        <w:p w14:paraId="7750AE3C" w14:textId="3F4DEDCB" w:rsidR="00E55F0E" w:rsidRPr="00695BAF" w:rsidRDefault="00E55F0E" w:rsidP="00D94637">
          <w:pPr>
            <w:pStyle w:val="FooterText"/>
            <w:jc w:val="right"/>
            <w:rPr>
              <w:caps/>
              <w:spacing w:val="-20"/>
              <w:sz w:val="16"/>
            </w:rPr>
          </w:pPr>
          <w:r>
            <w:rPr>
              <w:b/>
              <w:caps/>
              <w:spacing w:val="-20"/>
              <w:position w:val="-4"/>
              <w:sz w:val="36"/>
            </w:rPr>
            <w:t>EN</w:t>
          </w:r>
        </w:p>
      </w:tc>
    </w:tr>
    <w:bookmarkEnd w:id="1"/>
  </w:tbl>
  <w:p w14:paraId="52DD0E1C" w14:textId="77777777" w:rsidR="00420C54" w:rsidRPr="00E55F0E" w:rsidRDefault="00420C54" w:rsidP="00E55F0E">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55F0E" w:rsidRPr="00D94637" w14:paraId="60202E0D" w14:textId="77777777" w:rsidTr="00E55F0E">
      <w:trPr>
        <w:jc w:val="center"/>
      </w:trPr>
      <w:tc>
        <w:tcPr>
          <w:tcW w:w="5000" w:type="pct"/>
          <w:gridSpan w:val="7"/>
          <w:shd w:val="clear" w:color="auto" w:fill="auto"/>
          <w:tcMar>
            <w:top w:w="57" w:type="dxa"/>
          </w:tcMar>
        </w:tcPr>
        <w:p w14:paraId="20A7CAEA" w14:textId="77777777" w:rsidR="00E55F0E" w:rsidRPr="00D94637" w:rsidRDefault="00E55F0E" w:rsidP="00D94637">
          <w:pPr>
            <w:pStyle w:val="FooterText"/>
            <w:pBdr>
              <w:top w:val="single" w:sz="4" w:space="1" w:color="auto"/>
            </w:pBdr>
            <w:spacing w:before="200"/>
            <w:rPr>
              <w:sz w:val="2"/>
              <w:szCs w:val="2"/>
            </w:rPr>
          </w:pPr>
        </w:p>
      </w:tc>
    </w:tr>
    <w:tr w:rsidR="00E55F0E" w:rsidRPr="00B310DC" w14:paraId="2C030B5B" w14:textId="77777777" w:rsidTr="00E55F0E">
      <w:trPr>
        <w:jc w:val="center"/>
      </w:trPr>
      <w:tc>
        <w:tcPr>
          <w:tcW w:w="2500" w:type="pct"/>
          <w:gridSpan w:val="2"/>
          <w:shd w:val="clear" w:color="auto" w:fill="auto"/>
          <w:tcMar>
            <w:top w:w="0" w:type="dxa"/>
          </w:tcMar>
        </w:tcPr>
        <w:p w14:paraId="4D9387A8" w14:textId="43E52639" w:rsidR="00E55F0E" w:rsidRPr="00AD7BF2" w:rsidRDefault="00E55F0E" w:rsidP="004F54B2">
          <w:pPr>
            <w:pStyle w:val="FooterText"/>
          </w:pPr>
          <w:r>
            <w:t>9079/24</w:t>
          </w:r>
          <w:r w:rsidRPr="002511D8">
            <w:t xml:space="preserve"> </w:t>
          </w:r>
        </w:p>
      </w:tc>
      <w:tc>
        <w:tcPr>
          <w:tcW w:w="625" w:type="pct"/>
          <w:shd w:val="clear" w:color="auto" w:fill="auto"/>
          <w:tcMar>
            <w:top w:w="0" w:type="dxa"/>
          </w:tcMar>
        </w:tcPr>
        <w:p w14:paraId="2FC81731" w14:textId="77777777" w:rsidR="00E55F0E" w:rsidRPr="00AD7BF2" w:rsidRDefault="00E55F0E" w:rsidP="00D94637">
          <w:pPr>
            <w:pStyle w:val="FooterText"/>
            <w:jc w:val="center"/>
          </w:pPr>
        </w:p>
      </w:tc>
      <w:tc>
        <w:tcPr>
          <w:tcW w:w="1286" w:type="pct"/>
          <w:gridSpan w:val="3"/>
          <w:shd w:val="clear" w:color="auto" w:fill="auto"/>
          <w:tcMar>
            <w:top w:w="0" w:type="dxa"/>
          </w:tcMar>
        </w:tcPr>
        <w:p w14:paraId="2A2E8081" w14:textId="71EA6082" w:rsidR="00E55F0E" w:rsidRPr="002511D8" w:rsidRDefault="00E55F0E" w:rsidP="00D94637">
          <w:pPr>
            <w:pStyle w:val="FooterText"/>
            <w:jc w:val="center"/>
          </w:pPr>
          <w:r>
            <w:t>RS/ads</w:t>
          </w:r>
        </w:p>
      </w:tc>
      <w:tc>
        <w:tcPr>
          <w:tcW w:w="589" w:type="pct"/>
          <w:shd w:val="clear" w:color="auto" w:fill="auto"/>
          <w:tcMar>
            <w:top w:w="0" w:type="dxa"/>
          </w:tcMar>
        </w:tcPr>
        <w:p w14:paraId="55049633" w14:textId="0C09626D" w:rsidR="00E55F0E" w:rsidRPr="00B310DC" w:rsidRDefault="00E55F0E"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E55F0E" w:rsidRPr="00D94637" w14:paraId="433CE551" w14:textId="77777777" w:rsidTr="00E55F0E">
      <w:trPr>
        <w:jc w:val="center"/>
      </w:trPr>
      <w:tc>
        <w:tcPr>
          <w:tcW w:w="1774" w:type="pct"/>
          <w:shd w:val="clear" w:color="auto" w:fill="auto"/>
        </w:tcPr>
        <w:p w14:paraId="0BD759F5" w14:textId="769A2A86" w:rsidR="00E55F0E" w:rsidRPr="00AD7BF2" w:rsidRDefault="00E55F0E" w:rsidP="00D94637">
          <w:pPr>
            <w:pStyle w:val="FooterText"/>
            <w:spacing w:before="40"/>
          </w:pPr>
        </w:p>
      </w:tc>
      <w:tc>
        <w:tcPr>
          <w:tcW w:w="1455" w:type="pct"/>
          <w:gridSpan w:val="3"/>
          <w:shd w:val="clear" w:color="auto" w:fill="auto"/>
        </w:tcPr>
        <w:p w14:paraId="5FA2D2CF" w14:textId="56268AAE" w:rsidR="00E55F0E" w:rsidRPr="00AD7BF2" w:rsidRDefault="00E55F0E" w:rsidP="00D204D6">
          <w:pPr>
            <w:pStyle w:val="FooterText"/>
            <w:spacing w:before="40"/>
            <w:jc w:val="center"/>
          </w:pPr>
          <w:r>
            <w:t>LIFE.4</w:t>
          </w:r>
        </w:p>
      </w:tc>
      <w:tc>
        <w:tcPr>
          <w:tcW w:w="742" w:type="pct"/>
          <w:shd w:val="clear" w:color="auto" w:fill="auto"/>
        </w:tcPr>
        <w:p w14:paraId="047E41FE" w14:textId="0BC2C3DD" w:rsidR="00E55F0E" w:rsidRPr="00D94637" w:rsidRDefault="00E55F0E" w:rsidP="002F0099">
          <w:pPr>
            <w:pStyle w:val="FooterText"/>
            <w:jc w:val="center"/>
            <w:rPr>
              <w:b/>
              <w:position w:val="-4"/>
              <w:sz w:val="36"/>
            </w:rPr>
          </w:pPr>
          <w:r>
            <w:rPr>
              <w:b/>
              <w:position w:val="-4"/>
              <w:sz w:val="36"/>
            </w:rPr>
            <w:t>LIMITE</w:t>
          </w:r>
        </w:p>
      </w:tc>
      <w:tc>
        <w:tcPr>
          <w:tcW w:w="1029" w:type="pct"/>
          <w:gridSpan w:val="2"/>
          <w:shd w:val="clear" w:color="auto" w:fill="auto"/>
        </w:tcPr>
        <w:p w14:paraId="7AB66B3C" w14:textId="4F996153" w:rsidR="00E55F0E" w:rsidRPr="00695BAF" w:rsidRDefault="00E55F0E" w:rsidP="00D94637">
          <w:pPr>
            <w:pStyle w:val="FooterText"/>
            <w:jc w:val="right"/>
            <w:rPr>
              <w:caps/>
              <w:spacing w:val="-20"/>
              <w:sz w:val="16"/>
            </w:rPr>
          </w:pPr>
          <w:r>
            <w:rPr>
              <w:b/>
              <w:caps/>
              <w:spacing w:val="-20"/>
              <w:position w:val="-4"/>
              <w:sz w:val="36"/>
            </w:rPr>
            <w:t>EN</w:t>
          </w:r>
        </w:p>
      </w:tc>
    </w:tr>
  </w:tbl>
  <w:p w14:paraId="205596C4" w14:textId="77777777" w:rsidR="00420C54" w:rsidRPr="00E55F0E" w:rsidRDefault="00420C54" w:rsidP="00E55F0E">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55F0E" w:rsidRPr="00D94637" w14:paraId="4C96B2E2" w14:textId="77777777" w:rsidTr="00E55F0E">
      <w:trPr>
        <w:jc w:val="center"/>
      </w:trPr>
      <w:tc>
        <w:tcPr>
          <w:tcW w:w="5000" w:type="pct"/>
          <w:gridSpan w:val="7"/>
          <w:shd w:val="clear" w:color="auto" w:fill="auto"/>
          <w:tcMar>
            <w:top w:w="57" w:type="dxa"/>
          </w:tcMar>
        </w:tcPr>
        <w:p w14:paraId="3E513623" w14:textId="77777777" w:rsidR="00E55F0E" w:rsidRPr="00D94637" w:rsidRDefault="00E55F0E" w:rsidP="00D94637">
          <w:pPr>
            <w:pStyle w:val="FooterText"/>
            <w:pBdr>
              <w:top w:val="single" w:sz="4" w:space="1" w:color="auto"/>
            </w:pBdr>
            <w:spacing w:before="200"/>
            <w:rPr>
              <w:sz w:val="2"/>
              <w:szCs w:val="2"/>
            </w:rPr>
          </w:pPr>
        </w:p>
      </w:tc>
    </w:tr>
    <w:tr w:rsidR="00E55F0E" w:rsidRPr="00B310DC" w14:paraId="39E4700D" w14:textId="77777777" w:rsidTr="00E55F0E">
      <w:trPr>
        <w:jc w:val="center"/>
      </w:trPr>
      <w:tc>
        <w:tcPr>
          <w:tcW w:w="2500" w:type="pct"/>
          <w:gridSpan w:val="2"/>
          <w:shd w:val="clear" w:color="auto" w:fill="auto"/>
          <w:tcMar>
            <w:top w:w="0" w:type="dxa"/>
          </w:tcMar>
        </w:tcPr>
        <w:p w14:paraId="4C595D98" w14:textId="61866A5C" w:rsidR="00E55F0E" w:rsidRPr="00AD7BF2" w:rsidRDefault="00E55F0E" w:rsidP="004F54B2">
          <w:pPr>
            <w:pStyle w:val="FooterText"/>
          </w:pPr>
          <w:r>
            <w:t>9079/24</w:t>
          </w:r>
          <w:r w:rsidRPr="002511D8">
            <w:t xml:space="preserve"> </w:t>
          </w:r>
        </w:p>
      </w:tc>
      <w:tc>
        <w:tcPr>
          <w:tcW w:w="625" w:type="pct"/>
          <w:shd w:val="clear" w:color="auto" w:fill="auto"/>
          <w:tcMar>
            <w:top w:w="0" w:type="dxa"/>
          </w:tcMar>
        </w:tcPr>
        <w:p w14:paraId="1B6873BA" w14:textId="77777777" w:rsidR="00E55F0E" w:rsidRPr="00AD7BF2" w:rsidRDefault="00E55F0E" w:rsidP="00D94637">
          <w:pPr>
            <w:pStyle w:val="FooterText"/>
            <w:jc w:val="center"/>
          </w:pPr>
        </w:p>
      </w:tc>
      <w:tc>
        <w:tcPr>
          <w:tcW w:w="1286" w:type="pct"/>
          <w:gridSpan w:val="3"/>
          <w:shd w:val="clear" w:color="auto" w:fill="auto"/>
          <w:tcMar>
            <w:top w:w="0" w:type="dxa"/>
          </w:tcMar>
        </w:tcPr>
        <w:p w14:paraId="112C6271" w14:textId="233A710D" w:rsidR="00E55F0E" w:rsidRPr="002511D8" w:rsidRDefault="00E55F0E" w:rsidP="00D94637">
          <w:pPr>
            <w:pStyle w:val="FooterText"/>
            <w:jc w:val="center"/>
          </w:pPr>
          <w:r>
            <w:t>RS/ads</w:t>
          </w:r>
        </w:p>
      </w:tc>
      <w:tc>
        <w:tcPr>
          <w:tcW w:w="589" w:type="pct"/>
          <w:shd w:val="clear" w:color="auto" w:fill="auto"/>
          <w:tcMar>
            <w:top w:w="0" w:type="dxa"/>
          </w:tcMar>
        </w:tcPr>
        <w:p w14:paraId="6EC9418B" w14:textId="0EBFF084" w:rsidR="00E55F0E" w:rsidRPr="00B310DC" w:rsidRDefault="00E55F0E" w:rsidP="00D94637">
          <w:pPr>
            <w:pStyle w:val="FooterText"/>
            <w:jc w:val="right"/>
          </w:pPr>
          <w:r>
            <w:fldChar w:fldCharType="begin"/>
          </w:r>
          <w:r>
            <w:instrText xml:space="preserve"> PAGE  \* MERGEFORMAT </w:instrText>
          </w:r>
          <w:r>
            <w:fldChar w:fldCharType="separate"/>
          </w:r>
          <w:r>
            <w:rPr>
              <w:noProof/>
            </w:rPr>
            <w:t>4</w:t>
          </w:r>
          <w:r>
            <w:fldChar w:fldCharType="end"/>
          </w:r>
        </w:p>
      </w:tc>
    </w:tr>
    <w:tr w:rsidR="00E55F0E" w:rsidRPr="00D94637" w14:paraId="41D9C326" w14:textId="77777777" w:rsidTr="00E55F0E">
      <w:trPr>
        <w:jc w:val="center"/>
      </w:trPr>
      <w:tc>
        <w:tcPr>
          <w:tcW w:w="1774" w:type="pct"/>
          <w:shd w:val="clear" w:color="auto" w:fill="auto"/>
        </w:tcPr>
        <w:p w14:paraId="0BAB749F" w14:textId="54F7294D" w:rsidR="00E55F0E" w:rsidRPr="00AD7BF2" w:rsidRDefault="00E55F0E" w:rsidP="00D94637">
          <w:pPr>
            <w:pStyle w:val="FooterText"/>
            <w:spacing w:before="40"/>
          </w:pPr>
          <w:r>
            <w:t>ANNEX</w:t>
          </w:r>
        </w:p>
      </w:tc>
      <w:tc>
        <w:tcPr>
          <w:tcW w:w="1455" w:type="pct"/>
          <w:gridSpan w:val="3"/>
          <w:shd w:val="clear" w:color="auto" w:fill="auto"/>
        </w:tcPr>
        <w:p w14:paraId="4BA5BFB1" w14:textId="3EC430A7" w:rsidR="00E55F0E" w:rsidRPr="00AD7BF2" w:rsidRDefault="00E55F0E" w:rsidP="00D204D6">
          <w:pPr>
            <w:pStyle w:val="FooterText"/>
            <w:spacing w:before="40"/>
            <w:jc w:val="center"/>
          </w:pPr>
          <w:r>
            <w:t>LIFE.4</w:t>
          </w:r>
        </w:p>
      </w:tc>
      <w:tc>
        <w:tcPr>
          <w:tcW w:w="742" w:type="pct"/>
          <w:shd w:val="clear" w:color="auto" w:fill="auto"/>
        </w:tcPr>
        <w:p w14:paraId="30B7D187" w14:textId="6BB3367C" w:rsidR="00E55F0E" w:rsidRPr="00D94637" w:rsidRDefault="00E55F0E" w:rsidP="002F0099">
          <w:pPr>
            <w:pStyle w:val="FooterText"/>
            <w:jc w:val="center"/>
            <w:rPr>
              <w:b/>
              <w:position w:val="-4"/>
              <w:sz w:val="36"/>
            </w:rPr>
          </w:pPr>
          <w:r>
            <w:rPr>
              <w:b/>
              <w:position w:val="-4"/>
              <w:sz w:val="36"/>
            </w:rPr>
            <w:t>LIMITE</w:t>
          </w:r>
        </w:p>
      </w:tc>
      <w:tc>
        <w:tcPr>
          <w:tcW w:w="1029" w:type="pct"/>
          <w:gridSpan w:val="2"/>
          <w:shd w:val="clear" w:color="auto" w:fill="auto"/>
        </w:tcPr>
        <w:p w14:paraId="16EDF4EC" w14:textId="64FE796C" w:rsidR="00E55F0E" w:rsidRPr="00695BAF" w:rsidRDefault="00E55F0E" w:rsidP="00D94637">
          <w:pPr>
            <w:pStyle w:val="FooterText"/>
            <w:jc w:val="right"/>
            <w:rPr>
              <w:caps/>
              <w:spacing w:val="-20"/>
              <w:sz w:val="16"/>
            </w:rPr>
          </w:pPr>
          <w:r>
            <w:rPr>
              <w:b/>
              <w:caps/>
              <w:spacing w:val="-20"/>
              <w:position w:val="-4"/>
              <w:sz w:val="36"/>
            </w:rPr>
            <w:t>EN</w:t>
          </w:r>
        </w:p>
      </w:tc>
    </w:tr>
  </w:tbl>
  <w:p w14:paraId="65E42B82" w14:textId="77777777" w:rsidR="00D93E72" w:rsidRPr="00E55F0E" w:rsidRDefault="00D93E72" w:rsidP="00E55F0E">
    <w:pPr>
      <w:pStyle w:val="FooterCounci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55F0E" w:rsidRPr="00D94637" w14:paraId="71A44571" w14:textId="77777777" w:rsidTr="00E55F0E">
      <w:trPr>
        <w:jc w:val="center"/>
      </w:trPr>
      <w:tc>
        <w:tcPr>
          <w:tcW w:w="5000" w:type="pct"/>
          <w:gridSpan w:val="7"/>
          <w:shd w:val="clear" w:color="auto" w:fill="auto"/>
          <w:tcMar>
            <w:top w:w="57" w:type="dxa"/>
          </w:tcMar>
        </w:tcPr>
        <w:p w14:paraId="54B6533E" w14:textId="77777777" w:rsidR="00E55F0E" w:rsidRPr="00D94637" w:rsidRDefault="00E55F0E" w:rsidP="00D94637">
          <w:pPr>
            <w:pStyle w:val="FooterText"/>
            <w:pBdr>
              <w:top w:val="single" w:sz="4" w:space="1" w:color="auto"/>
            </w:pBdr>
            <w:spacing w:before="200"/>
            <w:rPr>
              <w:sz w:val="2"/>
              <w:szCs w:val="2"/>
            </w:rPr>
          </w:pPr>
        </w:p>
      </w:tc>
    </w:tr>
    <w:tr w:rsidR="00E55F0E" w:rsidRPr="00B310DC" w14:paraId="3BC1B0B2" w14:textId="77777777" w:rsidTr="00E55F0E">
      <w:trPr>
        <w:jc w:val="center"/>
      </w:trPr>
      <w:tc>
        <w:tcPr>
          <w:tcW w:w="2500" w:type="pct"/>
          <w:gridSpan w:val="2"/>
          <w:shd w:val="clear" w:color="auto" w:fill="auto"/>
          <w:tcMar>
            <w:top w:w="0" w:type="dxa"/>
          </w:tcMar>
        </w:tcPr>
        <w:p w14:paraId="4608EAAC" w14:textId="3399C1EB" w:rsidR="00E55F0E" w:rsidRPr="00AD7BF2" w:rsidRDefault="00E55F0E" w:rsidP="004F54B2">
          <w:pPr>
            <w:pStyle w:val="FooterText"/>
          </w:pPr>
          <w:r>
            <w:t>9079/24</w:t>
          </w:r>
          <w:r w:rsidRPr="002511D8">
            <w:t xml:space="preserve"> </w:t>
          </w:r>
        </w:p>
      </w:tc>
      <w:tc>
        <w:tcPr>
          <w:tcW w:w="625" w:type="pct"/>
          <w:shd w:val="clear" w:color="auto" w:fill="auto"/>
          <w:tcMar>
            <w:top w:w="0" w:type="dxa"/>
          </w:tcMar>
        </w:tcPr>
        <w:p w14:paraId="5F1FB49B" w14:textId="77777777" w:rsidR="00E55F0E" w:rsidRPr="00AD7BF2" w:rsidRDefault="00E55F0E" w:rsidP="00D94637">
          <w:pPr>
            <w:pStyle w:val="FooterText"/>
            <w:jc w:val="center"/>
          </w:pPr>
        </w:p>
      </w:tc>
      <w:tc>
        <w:tcPr>
          <w:tcW w:w="1286" w:type="pct"/>
          <w:gridSpan w:val="3"/>
          <w:shd w:val="clear" w:color="auto" w:fill="auto"/>
          <w:tcMar>
            <w:top w:w="0" w:type="dxa"/>
          </w:tcMar>
        </w:tcPr>
        <w:p w14:paraId="5E607C44" w14:textId="735F1D37" w:rsidR="00E55F0E" w:rsidRPr="002511D8" w:rsidRDefault="00E55F0E" w:rsidP="00D94637">
          <w:pPr>
            <w:pStyle w:val="FooterText"/>
            <w:jc w:val="center"/>
          </w:pPr>
          <w:r>
            <w:t>RS/ads</w:t>
          </w:r>
        </w:p>
      </w:tc>
      <w:tc>
        <w:tcPr>
          <w:tcW w:w="589" w:type="pct"/>
          <w:shd w:val="clear" w:color="auto" w:fill="auto"/>
          <w:tcMar>
            <w:top w:w="0" w:type="dxa"/>
          </w:tcMar>
        </w:tcPr>
        <w:p w14:paraId="368C345D" w14:textId="64BE1F04" w:rsidR="00E55F0E" w:rsidRPr="00B310DC" w:rsidRDefault="00E55F0E" w:rsidP="00D94637">
          <w:pPr>
            <w:pStyle w:val="FooterText"/>
            <w:jc w:val="right"/>
          </w:pPr>
          <w:r>
            <w:fldChar w:fldCharType="begin"/>
          </w:r>
          <w:r>
            <w:instrText xml:space="preserve"> PAGE  \* MERGEFORMAT </w:instrText>
          </w:r>
          <w:r>
            <w:fldChar w:fldCharType="separate"/>
          </w:r>
          <w:r>
            <w:rPr>
              <w:noProof/>
            </w:rPr>
            <w:t>33</w:t>
          </w:r>
          <w:r>
            <w:fldChar w:fldCharType="end"/>
          </w:r>
        </w:p>
      </w:tc>
    </w:tr>
    <w:tr w:rsidR="00E55F0E" w:rsidRPr="00D94637" w14:paraId="264BE94C" w14:textId="77777777" w:rsidTr="00E55F0E">
      <w:trPr>
        <w:jc w:val="center"/>
      </w:trPr>
      <w:tc>
        <w:tcPr>
          <w:tcW w:w="1774" w:type="pct"/>
          <w:shd w:val="clear" w:color="auto" w:fill="auto"/>
        </w:tcPr>
        <w:p w14:paraId="10A47F7F" w14:textId="7DB6095D" w:rsidR="00E55F0E" w:rsidRPr="00AD7BF2" w:rsidRDefault="00E55F0E" w:rsidP="00D94637">
          <w:pPr>
            <w:pStyle w:val="FooterText"/>
            <w:spacing w:before="40"/>
          </w:pPr>
          <w:r>
            <w:t>ANNEX to the ANNEX</w:t>
          </w:r>
        </w:p>
      </w:tc>
      <w:tc>
        <w:tcPr>
          <w:tcW w:w="1455" w:type="pct"/>
          <w:gridSpan w:val="3"/>
          <w:shd w:val="clear" w:color="auto" w:fill="auto"/>
        </w:tcPr>
        <w:p w14:paraId="11BBF505" w14:textId="08E756FD" w:rsidR="00E55F0E" w:rsidRPr="00AD7BF2" w:rsidRDefault="00E55F0E" w:rsidP="00D204D6">
          <w:pPr>
            <w:pStyle w:val="FooterText"/>
            <w:spacing w:before="40"/>
            <w:jc w:val="center"/>
          </w:pPr>
          <w:r>
            <w:t>LIFE.4</w:t>
          </w:r>
        </w:p>
      </w:tc>
      <w:tc>
        <w:tcPr>
          <w:tcW w:w="742" w:type="pct"/>
          <w:shd w:val="clear" w:color="auto" w:fill="auto"/>
        </w:tcPr>
        <w:p w14:paraId="72B37809" w14:textId="2C2D1739" w:rsidR="00E55F0E" w:rsidRPr="00D94637" w:rsidRDefault="00E55F0E" w:rsidP="002F0099">
          <w:pPr>
            <w:pStyle w:val="FooterText"/>
            <w:jc w:val="center"/>
            <w:rPr>
              <w:b/>
              <w:position w:val="-4"/>
              <w:sz w:val="36"/>
            </w:rPr>
          </w:pPr>
          <w:r>
            <w:rPr>
              <w:b/>
              <w:position w:val="-4"/>
              <w:sz w:val="36"/>
            </w:rPr>
            <w:t>LIMITE</w:t>
          </w:r>
        </w:p>
      </w:tc>
      <w:tc>
        <w:tcPr>
          <w:tcW w:w="1029" w:type="pct"/>
          <w:gridSpan w:val="2"/>
          <w:shd w:val="clear" w:color="auto" w:fill="auto"/>
        </w:tcPr>
        <w:p w14:paraId="6A10EC73" w14:textId="3CBF316E" w:rsidR="00E55F0E" w:rsidRPr="00695BAF" w:rsidRDefault="00E55F0E" w:rsidP="00D94637">
          <w:pPr>
            <w:pStyle w:val="FooterText"/>
            <w:jc w:val="right"/>
            <w:rPr>
              <w:caps/>
              <w:spacing w:val="-20"/>
              <w:sz w:val="16"/>
            </w:rPr>
          </w:pPr>
          <w:r>
            <w:rPr>
              <w:b/>
              <w:caps/>
              <w:spacing w:val="-20"/>
              <w:position w:val="-4"/>
              <w:sz w:val="36"/>
            </w:rPr>
            <w:t>EN</w:t>
          </w:r>
        </w:p>
      </w:tc>
    </w:tr>
  </w:tbl>
  <w:p w14:paraId="446C9A81" w14:textId="77777777" w:rsidR="00B60049" w:rsidRPr="00E55F0E" w:rsidRDefault="00B60049" w:rsidP="00E55F0E">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1672D" w14:textId="77777777" w:rsidR="008E428D" w:rsidRDefault="008E428D" w:rsidP="008D3C9A">
      <w:pPr>
        <w:spacing w:before="0" w:after="0" w:line="240" w:lineRule="auto"/>
      </w:pPr>
      <w:r>
        <w:separator/>
      </w:r>
    </w:p>
  </w:footnote>
  <w:footnote w:type="continuationSeparator" w:id="0">
    <w:p w14:paraId="3817F1C3" w14:textId="77777777" w:rsidR="008E428D" w:rsidRDefault="008E428D" w:rsidP="00EC3B25">
      <w:pPr>
        <w:spacing w:before="0" w:after="0" w:line="240" w:lineRule="auto"/>
      </w:pPr>
      <w:r>
        <w:continuationSeparator/>
      </w:r>
    </w:p>
  </w:footnote>
  <w:footnote w:id="1">
    <w:p w14:paraId="03EDF2E3" w14:textId="21D6FD31" w:rsidR="004E3389" w:rsidRPr="00A67061" w:rsidRDefault="004E3389">
      <w:pPr>
        <w:pStyle w:val="FootnoteText"/>
        <w:rPr>
          <w:lang w:val="fr-BE"/>
        </w:rPr>
      </w:pPr>
      <w:r>
        <w:rPr>
          <w:rStyle w:val="FootnoteReference"/>
        </w:rPr>
        <w:footnoteRef/>
      </w:r>
      <w:r w:rsidRPr="00A67061">
        <w:rPr>
          <w:lang w:val="fr-BE"/>
        </w:rPr>
        <w:tab/>
      </w:r>
      <w:r>
        <w:rPr>
          <w:lang w:val="fr-BE"/>
        </w:rPr>
        <w:t>Documents 5837/24 +</w:t>
      </w:r>
      <w:r w:rsidR="007D5A79">
        <w:rPr>
          <w:lang w:val="fr-BE"/>
        </w:rPr>
        <w:t xml:space="preserve"> </w:t>
      </w:r>
      <w:r>
        <w:rPr>
          <w:lang w:val="fr-BE"/>
        </w:rPr>
        <w:t>ADD1</w:t>
      </w:r>
    </w:p>
  </w:footnote>
  <w:footnote w:id="2">
    <w:p w14:paraId="7E12EE2B" w14:textId="54D7119E" w:rsidR="00D93E72" w:rsidRPr="00A67061" w:rsidRDefault="00D93E72" w:rsidP="00D93E72">
      <w:pPr>
        <w:pStyle w:val="FootnoteText"/>
        <w:rPr>
          <w:lang w:val="fr-BE"/>
        </w:rPr>
      </w:pPr>
      <w:r>
        <w:rPr>
          <w:rStyle w:val="FootnoteReference"/>
        </w:rPr>
        <w:footnoteRef/>
      </w:r>
      <w:r w:rsidRPr="00A67061">
        <w:rPr>
          <w:lang w:val="fr-BE"/>
        </w:rPr>
        <w:tab/>
        <w:t>OJ C , , p. .</w:t>
      </w:r>
    </w:p>
  </w:footnote>
  <w:footnote w:id="3">
    <w:p w14:paraId="3747D28B" w14:textId="128CF486" w:rsidR="00D93E72" w:rsidRPr="009C0D15" w:rsidRDefault="00D93E72" w:rsidP="00D93E72">
      <w:pPr>
        <w:pStyle w:val="FootnoteText"/>
        <w:rPr>
          <w:lang w:val="en-IE"/>
        </w:rPr>
      </w:pPr>
      <w:r>
        <w:rPr>
          <w:rStyle w:val="FootnoteReference"/>
        </w:rPr>
        <w:footnoteRef/>
      </w:r>
      <w:r w:rsidRPr="009C0D15">
        <w:rPr>
          <w:lang w:val="en-IE"/>
        </w:rPr>
        <w:tab/>
        <w:t>OJ C , , p. .</w:t>
      </w:r>
    </w:p>
  </w:footnote>
  <w:footnote w:id="4">
    <w:p w14:paraId="59650020" w14:textId="77777777" w:rsidR="00D93E72" w:rsidRDefault="00D93E72" w:rsidP="00D93E72">
      <w:pPr>
        <w:pStyle w:val="FootnoteText"/>
      </w:pPr>
      <w:r>
        <w:rPr>
          <w:rStyle w:val="FootnoteReference"/>
        </w:rPr>
        <w:footnoteRef/>
      </w:r>
      <w:r>
        <w:tab/>
        <w:t>Directive 2009/38/EC of the European Parliament and of the Council of 6 May 2009 on the establishment of a European Works Council or a procedure in Community-scale undertakings and Community-scale groups of undertakings for the purposes of informing and consulting employees (Recast) (OJ L 122, 16.5.2009, p. 28,</w:t>
      </w:r>
      <w:r w:rsidRPr="00D73599">
        <w:rPr>
          <w:rFonts w:ascii="Segoe UI" w:hAnsi="Segoe UI" w:cs="Segoe UI"/>
          <w:color w:val="333333"/>
          <w:sz w:val="21"/>
          <w:szCs w:val="21"/>
          <w:shd w:val="clear" w:color="auto" w:fill="FFFFFF"/>
        </w:rPr>
        <w:t xml:space="preserve"> </w:t>
      </w:r>
      <w:r w:rsidRPr="00D73599">
        <w:t>ELI: </w:t>
      </w:r>
      <w:hyperlink r:id="rId1" w:tooltip="Gives access to this document through its ELI URI." w:history="1">
        <w:r w:rsidRPr="00D73599">
          <w:rPr>
            <w:rStyle w:val="Hyperlink"/>
          </w:rPr>
          <w:t>http://data.europa.eu/eli/dir/2009/38/oj</w:t>
        </w:r>
      </w:hyperlink>
      <w:r>
        <w:t>).</w:t>
      </w:r>
    </w:p>
  </w:footnote>
  <w:footnote w:id="5">
    <w:p w14:paraId="12C2BF78" w14:textId="77777777" w:rsidR="00D93E72" w:rsidRDefault="00D93E72" w:rsidP="00D93E72">
      <w:pPr>
        <w:pStyle w:val="FootnoteText"/>
        <w:rPr>
          <w:lang w:val="en-IE"/>
        </w:rPr>
      </w:pPr>
      <w:r>
        <w:rPr>
          <w:rStyle w:val="FootnoteReference"/>
        </w:rPr>
        <w:footnoteRef/>
      </w:r>
      <w:r>
        <w:rPr>
          <w:lang w:val="en-IE"/>
        </w:rPr>
        <w:tab/>
      </w:r>
      <w:hyperlink r:id="rId2" w:history="1">
        <w:r>
          <w:rPr>
            <w:rStyle w:val="Hyperlink"/>
            <w:lang w:val="en-IE"/>
          </w:rPr>
          <w:t>COM(2018) 292 final</w:t>
        </w:r>
      </w:hyperlink>
      <w:r>
        <w:rPr>
          <w:rStyle w:val="Hyperlink"/>
          <w:lang w:val="en-IE"/>
        </w:rPr>
        <w:t>.</w:t>
      </w:r>
    </w:p>
  </w:footnote>
  <w:footnote w:id="6">
    <w:p w14:paraId="54380B06" w14:textId="77777777" w:rsidR="00D93E72" w:rsidRDefault="00D93E72" w:rsidP="00D93E72">
      <w:pPr>
        <w:pStyle w:val="FootnoteText"/>
        <w:rPr>
          <w:lang w:val="en-IE"/>
        </w:rPr>
      </w:pPr>
      <w:r>
        <w:rPr>
          <w:rStyle w:val="FootnoteReference"/>
        </w:rPr>
        <w:footnoteRef/>
      </w:r>
      <w:r>
        <w:rPr>
          <w:lang w:val="en-IE"/>
        </w:rPr>
        <w:tab/>
        <w:t>European Parliament resolution of 2 February 2023 with recommendations to the Commission on Revision of European Works Councils Directive (2019/2183(INL)).</w:t>
      </w:r>
    </w:p>
  </w:footnote>
  <w:footnote w:id="7">
    <w:p w14:paraId="050BDA5F" w14:textId="77777777" w:rsidR="00D93E72" w:rsidRDefault="00D93E72" w:rsidP="00D93E72">
      <w:pPr>
        <w:pStyle w:val="FootnoteText"/>
      </w:pPr>
      <w:r>
        <w:rPr>
          <w:rStyle w:val="FootnoteReference"/>
        </w:rPr>
        <w:footnoteRef/>
      </w:r>
      <w:r>
        <w:tab/>
        <w:t xml:space="preserve">Judgment of the Court of Justice of 28 March 2000, </w:t>
      </w:r>
      <w:r>
        <w:rPr>
          <w:i/>
          <w:iCs/>
        </w:rPr>
        <w:t>Badeck and Others</w:t>
      </w:r>
      <w:r>
        <w:t>, C-158/97, ECLI:EU:C:2000:163.</w:t>
      </w:r>
    </w:p>
  </w:footnote>
  <w:footnote w:id="8">
    <w:p w14:paraId="32C52549" w14:textId="77777777" w:rsidR="00D93E72" w:rsidRDefault="00D93E72" w:rsidP="00D93E72">
      <w:pPr>
        <w:pStyle w:val="FootnoteText"/>
        <w:rPr>
          <w:lang w:val="en-IE"/>
        </w:rPr>
      </w:pPr>
      <w:r>
        <w:rPr>
          <w:rStyle w:val="FootnoteReference"/>
        </w:rPr>
        <w:footnoteRef/>
      </w:r>
      <w:r>
        <w:rPr>
          <w:lang w:val="en-IE"/>
        </w:rPr>
        <w:tab/>
        <w:t xml:space="preserve">Council Directive 94/45/EC of 22 September 1994 on the establishment of a European Works Council or a procedure in Community-scale undertakings and Community-scale groups of undertakings for the purposes of informing and consulting employees (OJ L 254, 30.9.1994, p. 64, </w:t>
      </w:r>
      <w:r w:rsidRPr="00524216">
        <w:t>ELI: </w:t>
      </w:r>
      <w:hyperlink r:id="rId3" w:tooltip="Gives access to this document through its ELI URI." w:history="1">
        <w:r w:rsidRPr="00524216">
          <w:rPr>
            <w:rStyle w:val="Hyperlink"/>
          </w:rPr>
          <w:t>http://data.europa.eu/eli/dir/1994/45/oj</w:t>
        </w:r>
      </w:hyperlink>
      <w:r>
        <w:rPr>
          <w:lang w:val="en-IE"/>
        </w:rPr>
        <w:t>).</w:t>
      </w:r>
    </w:p>
  </w:footnote>
  <w:footnote w:id="9">
    <w:p w14:paraId="50B79FBF" w14:textId="725FF0E3" w:rsidR="00FA2E96" w:rsidRPr="00B05C09" w:rsidRDefault="00FA2E96" w:rsidP="00FA2E96">
      <w:pPr>
        <w:pStyle w:val="FootnoteText"/>
        <w:rPr>
          <w:b/>
          <w:bCs/>
        </w:rPr>
      </w:pPr>
      <w:r w:rsidRPr="009C3CCB">
        <w:rPr>
          <w:rStyle w:val="FootnoteReference"/>
          <w:b w:val="0"/>
          <w:bCs/>
        </w:rPr>
        <w:t>*</w:t>
      </w:r>
      <w:r w:rsidRPr="009C3CCB">
        <w:rPr>
          <w:b/>
          <w:bCs/>
        </w:rPr>
        <w:t xml:space="preserve"> </w:t>
      </w:r>
      <w:r w:rsidR="00E10EBB">
        <w:rPr>
          <w:b/>
          <w:bCs/>
        </w:rPr>
        <w:tab/>
      </w:r>
      <w:r w:rsidRPr="0074242E">
        <w:rPr>
          <w:b/>
          <w:bCs/>
          <w:i/>
          <w:iCs/>
        </w:rPr>
        <w:t>Moved to recital 20a-new</w:t>
      </w:r>
    </w:p>
  </w:footnote>
  <w:footnote w:id="10">
    <w:p w14:paraId="503432E4" w14:textId="77777777" w:rsidR="00D93E72" w:rsidRPr="007654D7" w:rsidRDefault="00D93E72" w:rsidP="00D93E72">
      <w:pPr>
        <w:pStyle w:val="FootnoteText"/>
      </w:pPr>
      <w:r w:rsidRPr="00D60ABD">
        <w:rPr>
          <w:rStyle w:val="FootnoteReference"/>
        </w:rPr>
        <w:footnoteRef/>
      </w:r>
      <w:r>
        <w:tab/>
      </w:r>
      <w:r w:rsidRPr="007654D7">
        <w:rPr>
          <w:lang w:val="en-IE"/>
        </w:rPr>
        <w:t>Directive 2014/23/EU of the European Parliament and of the Council of 26 February 2014 on the award of concession contracts (OJ L 94, 28.3.2014, p. 1).</w:t>
      </w:r>
    </w:p>
  </w:footnote>
  <w:footnote w:id="11">
    <w:p w14:paraId="7D9138B4" w14:textId="77777777" w:rsidR="00D93E72" w:rsidRPr="007654D7" w:rsidRDefault="00D93E72" w:rsidP="00D93E72">
      <w:pPr>
        <w:pStyle w:val="FootnoteText"/>
      </w:pPr>
      <w:r w:rsidRPr="00D60ABD">
        <w:rPr>
          <w:rStyle w:val="FootnoteReference"/>
        </w:rPr>
        <w:footnoteRef/>
      </w:r>
      <w:r>
        <w:tab/>
      </w:r>
      <w:r w:rsidRPr="007654D7">
        <w:t>Directive 2014/24/EU of the European Parliament and of the Council of 26 February 2014 on public procurement and repealing Directive 2004/18/EC (OJ L 94, 28.3.2014, p. 65).</w:t>
      </w:r>
    </w:p>
  </w:footnote>
  <w:footnote w:id="12">
    <w:p w14:paraId="47395677" w14:textId="77777777" w:rsidR="00D93E72" w:rsidRPr="00825765" w:rsidRDefault="00D93E72" w:rsidP="00D93E72">
      <w:pPr>
        <w:pStyle w:val="FootnoteText"/>
        <w:rPr>
          <w:lang w:val="en-IE"/>
        </w:rPr>
      </w:pPr>
      <w:r w:rsidRPr="00D60ABD">
        <w:rPr>
          <w:rStyle w:val="FootnoteReference"/>
        </w:rPr>
        <w:footnoteRef/>
      </w:r>
      <w:r>
        <w:tab/>
      </w:r>
      <w:r w:rsidRPr="007654D7">
        <w:rPr>
          <w:lang w:val="en-IE"/>
        </w:rPr>
        <w:t>Directive 2014/25/EU of the European Parliament and of the Council of 26 February 2014 on procurement by entities operating in the water, energy, transport and postal services sectors and repealing Directive 2004/17/EC (OJ L 94, 28.3.2014, p. 243).</w:t>
      </w:r>
    </w:p>
  </w:footnote>
  <w:footnote w:id="13">
    <w:p w14:paraId="72B3DB71" w14:textId="3925446F" w:rsidR="00D84400" w:rsidRPr="00007932" w:rsidRDefault="00D84400" w:rsidP="00D84400">
      <w:pPr>
        <w:pStyle w:val="FootnoteText"/>
        <w:rPr>
          <w:b/>
          <w:i/>
          <w:iCs/>
        </w:rPr>
      </w:pPr>
      <w:r>
        <w:rPr>
          <w:rStyle w:val="FootnoteReference"/>
        </w:rPr>
        <w:t>**</w:t>
      </w:r>
      <w:r w:rsidRPr="00007932">
        <w:rPr>
          <w:b/>
          <w:i/>
          <w:iCs/>
        </w:rPr>
        <w:tab/>
        <w:t>The text in italics restores verbatim the text added to this Directive by means of Article 2 of Directive (EU) 2015/1794</w:t>
      </w:r>
      <w:r w:rsidRPr="00D84400">
        <w:rPr>
          <w:b/>
          <w:i/>
          <w:iCs/>
        </w:rPr>
        <w:t xml:space="preserve"> of the European Parliament and of the Council</w:t>
      </w:r>
      <w:r>
        <w:rPr>
          <w:b/>
          <w:i/>
          <w:iCs/>
        </w:rPr>
        <w:t xml:space="preserve"> </w:t>
      </w:r>
      <w:r w:rsidRPr="00D84400">
        <w:rPr>
          <w:b/>
          <w:i/>
          <w:iCs/>
        </w:rPr>
        <w:t>of 6 October 2015 amending Directives 2008/94/EC, 2009/38/EC and 2002/14/EC of the European Parliament and of the Council, and Council Directives 98/59/EC and 2001/23/EC, as regards seafarers</w:t>
      </w:r>
      <w:r w:rsidRPr="00007932">
        <w:rPr>
          <w:b/>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6092" w14:textId="77777777" w:rsidR="005935C6" w:rsidRPr="00E55F0E" w:rsidRDefault="005935C6" w:rsidP="00E5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568B" w14:textId="1856D5F5" w:rsidR="00420C54" w:rsidRPr="00E55F0E" w:rsidRDefault="00E55F0E" w:rsidP="00E55F0E">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E329" w14:textId="18B5B9AB" w:rsidR="00420C54" w:rsidRPr="00E55F0E" w:rsidRDefault="00E55F0E" w:rsidP="00E55F0E">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24FE" w14:textId="4637A0DE" w:rsidR="00D93E72" w:rsidRPr="00E55F0E" w:rsidRDefault="00D93E72" w:rsidP="00E55F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000D" w14:textId="77777777" w:rsidR="00D93E72" w:rsidRPr="00E55F0E" w:rsidRDefault="00D93E72" w:rsidP="00E5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8BF0892"/>
    <w:multiLevelType w:val="hybridMultilevel"/>
    <w:tmpl w:val="A43E8FD8"/>
    <w:lvl w:ilvl="0" w:tplc="43FC69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8"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B10A9D"/>
    <w:multiLevelType w:val="hybridMultilevel"/>
    <w:tmpl w:val="90F21E56"/>
    <w:lvl w:ilvl="0" w:tplc="A2701E8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11C1C9E"/>
    <w:multiLevelType w:val="hybridMultilevel"/>
    <w:tmpl w:val="240ADA5E"/>
    <w:lvl w:ilvl="0" w:tplc="D10897B8">
      <w:start w:val="1"/>
      <w:numFmt w:val="decimal"/>
      <w:lvlText w:val="%1."/>
      <w:lvlJc w:val="left"/>
      <w:pPr>
        <w:ind w:left="1020" w:hanging="360"/>
      </w:pPr>
    </w:lvl>
    <w:lvl w:ilvl="1" w:tplc="E62A714A">
      <w:start w:val="1"/>
      <w:numFmt w:val="decimal"/>
      <w:lvlText w:val="%2."/>
      <w:lvlJc w:val="left"/>
      <w:pPr>
        <w:ind w:left="1020" w:hanging="360"/>
      </w:pPr>
    </w:lvl>
    <w:lvl w:ilvl="2" w:tplc="A6963B18">
      <w:start w:val="1"/>
      <w:numFmt w:val="decimal"/>
      <w:lvlText w:val="%3."/>
      <w:lvlJc w:val="left"/>
      <w:pPr>
        <w:ind w:left="1020" w:hanging="360"/>
      </w:pPr>
    </w:lvl>
    <w:lvl w:ilvl="3" w:tplc="6D36252A">
      <w:start w:val="1"/>
      <w:numFmt w:val="decimal"/>
      <w:lvlText w:val="%4."/>
      <w:lvlJc w:val="left"/>
      <w:pPr>
        <w:ind w:left="1020" w:hanging="360"/>
      </w:pPr>
    </w:lvl>
    <w:lvl w:ilvl="4" w:tplc="314ED548">
      <w:start w:val="1"/>
      <w:numFmt w:val="decimal"/>
      <w:lvlText w:val="%5."/>
      <w:lvlJc w:val="left"/>
      <w:pPr>
        <w:ind w:left="1020" w:hanging="360"/>
      </w:pPr>
    </w:lvl>
    <w:lvl w:ilvl="5" w:tplc="E80E05F2">
      <w:start w:val="1"/>
      <w:numFmt w:val="decimal"/>
      <w:lvlText w:val="%6."/>
      <w:lvlJc w:val="left"/>
      <w:pPr>
        <w:ind w:left="1020" w:hanging="360"/>
      </w:pPr>
    </w:lvl>
    <w:lvl w:ilvl="6" w:tplc="883C0944">
      <w:start w:val="1"/>
      <w:numFmt w:val="decimal"/>
      <w:lvlText w:val="%7."/>
      <w:lvlJc w:val="left"/>
      <w:pPr>
        <w:ind w:left="1020" w:hanging="360"/>
      </w:pPr>
    </w:lvl>
    <w:lvl w:ilvl="7" w:tplc="E59646D0">
      <w:start w:val="1"/>
      <w:numFmt w:val="decimal"/>
      <w:lvlText w:val="%8."/>
      <w:lvlJc w:val="left"/>
      <w:pPr>
        <w:ind w:left="1020" w:hanging="360"/>
      </w:pPr>
    </w:lvl>
    <w:lvl w:ilvl="8" w:tplc="092ADF3C">
      <w:start w:val="1"/>
      <w:numFmt w:val="decimal"/>
      <w:lvlText w:val="%9."/>
      <w:lvlJc w:val="left"/>
      <w:pPr>
        <w:ind w:left="1020" w:hanging="360"/>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4"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6"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9"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3"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4"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5"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6"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16cid:durableId="1466007105">
    <w:abstractNumId w:val="22"/>
  </w:num>
  <w:num w:numId="2" w16cid:durableId="1475875094">
    <w:abstractNumId w:val="1"/>
  </w:num>
  <w:num w:numId="3" w16cid:durableId="1816027014">
    <w:abstractNumId w:val="23"/>
  </w:num>
  <w:num w:numId="4" w16cid:durableId="1689023111">
    <w:abstractNumId w:val="18"/>
  </w:num>
  <w:num w:numId="5" w16cid:durableId="1106273980">
    <w:abstractNumId w:val="2"/>
  </w:num>
  <w:num w:numId="6" w16cid:durableId="154153400">
    <w:abstractNumId w:val="25"/>
  </w:num>
  <w:num w:numId="7" w16cid:durableId="366873316">
    <w:abstractNumId w:val="27"/>
  </w:num>
  <w:num w:numId="8" w16cid:durableId="1037966521">
    <w:abstractNumId w:val="15"/>
  </w:num>
  <w:num w:numId="9" w16cid:durableId="1971782157">
    <w:abstractNumId w:val="24"/>
  </w:num>
  <w:num w:numId="10" w16cid:durableId="2094692991">
    <w:abstractNumId w:val="19"/>
  </w:num>
  <w:num w:numId="11" w16cid:durableId="1095132390">
    <w:abstractNumId w:val="13"/>
  </w:num>
  <w:num w:numId="12" w16cid:durableId="1026560865">
    <w:abstractNumId w:val="7"/>
  </w:num>
  <w:num w:numId="13" w16cid:durableId="304546926">
    <w:abstractNumId w:val="4"/>
  </w:num>
  <w:num w:numId="14" w16cid:durableId="256207736">
    <w:abstractNumId w:val="21"/>
  </w:num>
  <w:num w:numId="15" w16cid:durableId="876433143">
    <w:abstractNumId w:val="26"/>
  </w:num>
  <w:num w:numId="16" w16cid:durableId="1755589573">
    <w:abstractNumId w:val="0"/>
  </w:num>
  <w:num w:numId="17" w16cid:durableId="1059204818">
    <w:abstractNumId w:val="8"/>
  </w:num>
  <w:num w:numId="18" w16cid:durableId="1023554113">
    <w:abstractNumId w:val="3"/>
  </w:num>
  <w:num w:numId="19" w16cid:durableId="1342467967">
    <w:abstractNumId w:val="9"/>
  </w:num>
  <w:num w:numId="20" w16cid:durableId="1277717369">
    <w:abstractNumId w:val="16"/>
  </w:num>
  <w:num w:numId="21" w16cid:durableId="2136675315">
    <w:abstractNumId w:val="20"/>
    <w:lvlOverride w:ilvl="0">
      <w:startOverride w:val="1"/>
    </w:lvlOverride>
  </w:num>
  <w:num w:numId="22" w16cid:durableId="9475896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2486740">
    <w:abstractNumId w:val="12"/>
    <w:lvlOverride w:ilvl="0">
      <w:startOverride w:val="1"/>
    </w:lvlOverride>
  </w:num>
  <w:num w:numId="24" w16cid:durableId="1177617569">
    <w:abstractNumId w:val="20"/>
    <w:lvlOverride w:ilvl="0">
      <w:startOverride w:val="1"/>
    </w:lvlOverride>
  </w:num>
  <w:num w:numId="25" w16cid:durableId="1234194020">
    <w:abstractNumId w:val="20"/>
  </w:num>
  <w:num w:numId="26" w16cid:durableId="124929375">
    <w:abstractNumId w:val="12"/>
  </w:num>
  <w:num w:numId="27" w16cid:durableId="154036003">
    <w:abstractNumId w:val="6"/>
  </w:num>
  <w:num w:numId="28" w16cid:durableId="1914848462">
    <w:abstractNumId w:val="10"/>
  </w:num>
  <w:num w:numId="29" w16cid:durableId="1869102051">
    <w:abstractNumId w:val="5"/>
  </w:num>
  <w:num w:numId="30" w16cid:durableId="2039771017">
    <w:abstractNumId w:val="0"/>
  </w:num>
  <w:num w:numId="31" w16cid:durableId="1142776111">
    <w:abstractNumId w:val="23"/>
  </w:num>
  <w:num w:numId="32" w16cid:durableId="1267737557">
    <w:abstractNumId w:val="23"/>
  </w:num>
  <w:num w:numId="33" w16cid:durableId="1900092343">
    <w:abstractNumId w:val="23"/>
  </w:num>
  <w:num w:numId="34" w16cid:durableId="1661930039">
    <w:abstractNumId w:val="0"/>
  </w:num>
  <w:num w:numId="35" w16cid:durableId="517357800">
    <w:abstractNumId w:val="18"/>
  </w:num>
  <w:num w:numId="36" w16cid:durableId="1514032479">
    <w:abstractNumId w:val="18"/>
  </w:num>
  <w:num w:numId="37" w16cid:durableId="1470056006">
    <w:abstractNumId w:val="23"/>
  </w:num>
  <w:num w:numId="38" w16cid:durableId="18164054">
    <w:abstractNumId w:val="23"/>
  </w:num>
  <w:num w:numId="39" w16cid:durableId="1648633919">
    <w:abstractNumId w:val="23"/>
  </w:num>
  <w:num w:numId="40" w16cid:durableId="1250579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567"/>
  <w:hyphenationZone w:val="425"/>
  <w:characterSpacingControl w:val="doNotCompress"/>
  <w:hdrShapeDefaults>
    <o:shapedefaults v:ext="edit" spidmax="2051"/>
  </w:hdrShapeDefault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ouncil" w:val="true"/>
    <w:docVar w:name="DocuWriteMetaData" w:val="&lt;metadataset docuwriteversion=&quot;4.9.1&quot; technicalblockguid=&quot;551603700769693548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4-24&lt;/text&gt;_x000d__x000a_  &lt;/metadata&gt;_x000d__x000a_  &lt;metadata key=&quot;md_Prefix&quot;&gt;_x000d__x000a_    &lt;text&gt;&lt;/text&gt;_x000d__x000a_  &lt;/metadata&gt;_x000d__x000a_  &lt;metadata key=&quot;md_DocumentNumber&quot;&gt;_x000d__x000a_    &lt;text&gt;9079&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SOC 296&lt;/text&gt;_x000d__x000a_      &lt;text&gt;EMPL 171&lt;/text&gt;_x000d__x000a_      &lt;text&gt;GENDER 74&lt;/text&gt;_x000d__x000a_      &lt;text&gt;MI 425&lt;/text&gt;_x000d__x000a_      &lt;text&gt;COMPET 444&lt;/text&gt;_x000d__x000a_      &lt;text&gt;DATAPROTECT 184&lt;/text&gt;_x000d__x000a_      &lt;text&gt;CODEC 1138&lt;/text&gt;_x000d__x000a_      &lt;text&gt;IA 105&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24/0006(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7&quot; text=&quot;Delegations&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Prefix&quot;&gt;_x000d__x000a_    &lt;text&gt;&lt;/text&gt;_x000d__x000a_  &lt;/metadata&gt;_x000d__x000a_  &lt;metadata key=&quot;md_Subject&quot;&gt;_x000d__x000a_    &lt;xaml text=&quot;Proposal for a DIRECTIVE OF THE EUROPEAN PARLIAMENT AND OF THE COUNCIL amending Directive 2009/38/EC as regards the establishment and functioning of European Works Councils and the effective enforcement of transnational information and consultation rights&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Proposal for a DIRECTIVE OF THE EUROPEAN PARLIAMENT AND OF THE COUNCIL amending Directive 2009/38/EC as regards the establishment and functioning of European Works Councils and the effective enforcement of transnational information and consultation rights&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RS/ad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 w:name="LW_DocType" w:val="DW_COUNCIL"/>
  </w:docVars>
  <w:rsids>
    <w:rsidRoot w:val="00420C54"/>
    <w:rsid w:val="00007932"/>
    <w:rsid w:val="00012F10"/>
    <w:rsid w:val="00023DB3"/>
    <w:rsid w:val="000274AE"/>
    <w:rsid w:val="0003026E"/>
    <w:rsid w:val="0003099B"/>
    <w:rsid w:val="00046245"/>
    <w:rsid w:val="00046866"/>
    <w:rsid w:val="00050E99"/>
    <w:rsid w:val="00082AD6"/>
    <w:rsid w:val="000837C5"/>
    <w:rsid w:val="00090BAD"/>
    <w:rsid w:val="00093BB5"/>
    <w:rsid w:val="00094DF8"/>
    <w:rsid w:val="000A11FB"/>
    <w:rsid w:val="000A466F"/>
    <w:rsid w:val="000A5851"/>
    <w:rsid w:val="000C1D3A"/>
    <w:rsid w:val="000D0922"/>
    <w:rsid w:val="000E2A90"/>
    <w:rsid w:val="000E2F2F"/>
    <w:rsid w:val="000E4408"/>
    <w:rsid w:val="000F0808"/>
    <w:rsid w:val="000F16F0"/>
    <w:rsid w:val="00105852"/>
    <w:rsid w:val="00105936"/>
    <w:rsid w:val="00105E39"/>
    <w:rsid w:val="001176E7"/>
    <w:rsid w:val="00117F8E"/>
    <w:rsid w:val="001274D2"/>
    <w:rsid w:val="00143D53"/>
    <w:rsid w:val="00152088"/>
    <w:rsid w:val="00152168"/>
    <w:rsid w:val="00156D20"/>
    <w:rsid w:val="001575FC"/>
    <w:rsid w:val="00181290"/>
    <w:rsid w:val="00185197"/>
    <w:rsid w:val="0018532D"/>
    <w:rsid w:val="0018594B"/>
    <w:rsid w:val="00191B8C"/>
    <w:rsid w:val="00196554"/>
    <w:rsid w:val="0019710D"/>
    <w:rsid w:val="001A2283"/>
    <w:rsid w:val="001A7055"/>
    <w:rsid w:val="001A7EC5"/>
    <w:rsid w:val="001B639D"/>
    <w:rsid w:val="001B675E"/>
    <w:rsid w:val="001C0D60"/>
    <w:rsid w:val="001C1891"/>
    <w:rsid w:val="001C5E83"/>
    <w:rsid w:val="001C62A2"/>
    <w:rsid w:val="001E382A"/>
    <w:rsid w:val="001F6169"/>
    <w:rsid w:val="00205C5E"/>
    <w:rsid w:val="00206CB3"/>
    <w:rsid w:val="002111CF"/>
    <w:rsid w:val="002118B5"/>
    <w:rsid w:val="002151C9"/>
    <w:rsid w:val="00217C08"/>
    <w:rsid w:val="00230144"/>
    <w:rsid w:val="00261036"/>
    <w:rsid w:val="0026203C"/>
    <w:rsid w:val="002635B7"/>
    <w:rsid w:val="0026719C"/>
    <w:rsid w:val="00270073"/>
    <w:rsid w:val="00270F0B"/>
    <w:rsid w:val="00274155"/>
    <w:rsid w:val="002764C7"/>
    <w:rsid w:val="00276E7F"/>
    <w:rsid w:val="00292FB4"/>
    <w:rsid w:val="002A61E8"/>
    <w:rsid w:val="002D0097"/>
    <w:rsid w:val="002D2F89"/>
    <w:rsid w:val="002D4324"/>
    <w:rsid w:val="002E1F99"/>
    <w:rsid w:val="002F0D40"/>
    <w:rsid w:val="002F56B4"/>
    <w:rsid w:val="002F6989"/>
    <w:rsid w:val="002F7B09"/>
    <w:rsid w:val="002F7E11"/>
    <w:rsid w:val="00303F4B"/>
    <w:rsid w:val="003105E2"/>
    <w:rsid w:val="00311F6A"/>
    <w:rsid w:val="00311F9C"/>
    <w:rsid w:val="00316C8F"/>
    <w:rsid w:val="00322F22"/>
    <w:rsid w:val="003248A1"/>
    <w:rsid w:val="00324F42"/>
    <w:rsid w:val="003272E1"/>
    <w:rsid w:val="00333B55"/>
    <w:rsid w:val="00334C01"/>
    <w:rsid w:val="00336016"/>
    <w:rsid w:val="003363CA"/>
    <w:rsid w:val="00341FF5"/>
    <w:rsid w:val="003464A4"/>
    <w:rsid w:val="00353330"/>
    <w:rsid w:val="00360692"/>
    <w:rsid w:val="0036408A"/>
    <w:rsid w:val="0036600A"/>
    <w:rsid w:val="003802D6"/>
    <w:rsid w:val="00395E75"/>
    <w:rsid w:val="00396A84"/>
    <w:rsid w:val="003A1A05"/>
    <w:rsid w:val="003A69C3"/>
    <w:rsid w:val="003B0F7C"/>
    <w:rsid w:val="003D0519"/>
    <w:rsid w:val="00413480"/>
    <w:rsid w:val="00417D9B"/>
    <w:rsid w:val="00420C54"/>
    <w:rsid w:val="004241A8"/>
    <w:rsid w:val="00424874"/>
    <w:rsid w:val="00424E73"/>
    <w:rsid w:val="0042533D"/>
    <w:rsid w:val="00430E18"/>
    <w:rsid w:val="00444B55"/>
    <w:rsid w:val="00450CCF"/>
    <w:rsid w:val="00465CEE"/>
    <w:rsid w:val="00470CA8"/>
    <w:rsid w:val="004746D1"/>
    <w:rsid w:val="00477ECD"/>
    <w:rsid w:val="004867B2"/>
    <w:rsid w:val="004961CB"/>
    <w:rsid w:val="004A26D9"/>
    <w:rsid w:val="004A48F1"/>
    <w:rsid w:val="004A6A1F"/>
    <w:rsid w:val="004B63B2"/>
    <w:rsid w:val="004C2B8D"/>
    <w:rsid w:val="004C3446"/>
    <w:rsid w:val="004E2156"/>
    <w:rsid w:val="004E3389"/>
    <w:rsid w:val="004E3E5B"/>
    <w:rsid w:val="004F4791"/>
    <w:rsid w:val="00506C6B"/>
    <w:rsid w:val="00507D6F"/>
    <w:rsid w:val="00514C16"/>
    <w:rsid w:val="00532678"/>
    <w:rsid w:val="00536CB0"/>
    <w:rsid w:val="005375F1"/>
    <w:rsid w:val="005467F8"/>
    <w:rsid w:val="00555C2D"/>
    <w:rsid w:val="00560050"/>
    <w:rsid w:val="00561C2F"/>
    <w:rsid w:val="0056450C"/>
    <w:rsid w:val="00567812"/>
    <w:rsid w:val="00567907"/>
    <w:rsid w:val="00573D7C"/>
    <w:rsid w:val="00581605"/>
    <w:rsid w:val="005935C6"/>
    <w:rsid w:val="005955EE"/>
    <w:rsid w:val="005969A6"/>
    <w:rsid w:val="005A622A"/>
    <w:rsid w:val="005B279B"/>
    <w:rsid w:val="005B30D8"/>
    <w:rsid w:val="005C0EB4"/>
    <w:rsid w:val="005C18C7"/>
    <w:rsid w:val="005D0831"/>
    <w:rsid w:val="005E3DA8"/>
    <w:rsid w:val="005E500B"/>
    <w:rsid w:val="005E523A"/>
    <w:rsid w:val="006059E9"/>
    <w:rsid w:val="00605BAD"/>
    <w:rsid w:val="00621B68"/>
    <w:rsid w:val="0062336B"/>
    <w:rsid w:val="0062428F"/>
    <w:rsid w:val="006323CC"/>
    <w:rsid w:val="0063312A"/>
    <w:rsid w:val="0063392B"/>
    <w:rsid w:val="00636440"/>
    <w:rsid w:val="0065442A"/>
    <w:rsid w:val="00663E12"/>
    <w:rsid w:val="00672821"/>
    <w:rsid w:val="0069639C"/>
    <w:rsid w:val="006A1ED9"/>
    <w:rsid w:val="006A3781"/>
    <w:rsid w:val="006A4A0D"/>
    <w:rsid w:val="006B7050"/>
    <w:rsid w:val="006C031F"/>
    <w:rsid w:val="006C05DC"/>
    <w:rsid w:val="006C181C"/>
    <w:rsid w:val="006D10A2"/>
    <w:rsid w:val="006D1ADC"/>
    <w:rsid w:val="006D3189"/>
    <w:rsid w:val="00702FC9"/>
    <w:rsid w:val="007042C9"/>
    <w:rsid w:val="00706D9C"/>
    <w:rsid w:val="00710B90"/>
    <w:rsid w:val="00715962"/>
    <w:rsid w:val="00715C00"/>
    <w:rsid w:val="00725203"/>
    <w:rsid w:val="0073584C"/>
    <w:rsid w:val="0074242E"/>
    <w:rsid w:val="0074591A"/>
    <w:rsid w:val="00747C43"/>
    <w:rsid w:val="0075095B"/>
    <w:rsid w:val="007578CF"/>
    <w:rsid w:val="00772954"/>
    <w:rsid w:val="00772FCC"/>
    <w:rsid w:val="00775B85"/>
    <w:rsid w:val="00781A87"/>
    <w:rsid w:val="00797C40"/>
    <w:rsid w:val="007A202D"/>
    <w:rsid w:val="007A300D"/>
    <w:rsid w:val="007A7E9B"/>
    <w:rsid w:val="007B07AA"/>
    <w:rsid w:val="007B0E08"/>
    <w:rsid w:val="007B1406"/>
    <w:rsid w:val="007B2404"/>
    <w:rsid w:val="007C1261"/>
    <w:rsid w:val="007D3DB7"/>
    <w:rsid w:val="007D4E54"/>
    <w:rsid w:val="007D5A79"/>
    <w:rsid w:val="007E40BE"/>
    <w:rsid w:val="007E4F3E"/>
    <w:rsid w:val="007F1A26"/>
    <w:rsid w:val="007F21DE"/>
    <w:rsid w:val="00812A72"/>
    <w:rsid w:val="008146F9"/>
    <w:rsid w:val="00814C31"/>
    <w:rsid w:val="00845179"/>
    <w:rsid w:val="008505D4"/>
    <w:rsid w:val="00854A77"/>
    <w:rsid w:val="008700FD"/>
    <w:rsid w:val="008726BC"/>
    <w:rsid w:val="0089301C"/>
    <w:rsid w:val="0089547C"/>
    <w:rsid w:val="00896C3C"/>
    <w:rsid w:val="008A3A89"/>
    <w:rsid w:val="008B6014"/>
    <w:rsid w:val="008B7A6B"/>
    <w:rsid w:val="008D3C9A"/>
    <w:rsid w:val="008E07D9"/>
    <w:rsid w:val="008E428D"/>
    <w:rsid w:val="008E6E92"/>
    <w:rsid w:val="008F6D44"/>
    <w:rsid w:val="00902BBB"/>
    <w:rsid w:val="00915D57"/>
    <w:rsid w:val="00924747"/>
    <w:rsid w:val="00926E48"/>
    <w:rsid w:val="00955E7C"/>
    <w:rsid w:val="009643A7"/>
    <w:rsid w:val="00966C00"/>
    <w:rsid w:val="00976A9F"/>
    <w:rsid w:val="00983728"/>
    <w:rsid w:val="009858A8"/>
    <w:rsid w:val="00985FB4"/>
    <w:rsid w:val="0098706C"/>
    <w:rsid w:val="009930AF"/>
    <w:rsid w:val="009A0814"/>
    <w:rsid w:val="009A4844"/>
    <w:rsid w:val="009B46C4"/>
    <w:rsid w:val="009C5985"/>
    <w:rsid w:val="009C62ED"/>
    <w:rsid w:val="009C6417"/>
    <w:rsid w:val="009E4F45"/>
    <w:rsid w:val="009F1DEB"/>
    <w:rsid w:val="00A00E61"/>
    <w:rsid w:val="00A127DA"/>
    <w:rsid w:val="00A14403"/>
    <w:rsid w:val="00A27F30"/>
    <w:rsid w:val="00A31D2D"/>
    <w:rsid w:val="00A31D89"/>
    <w:rsid w:val="00A32AFF"/>
    <w:rsid w:val="00A42CC6"/>
    <w:rsid w:val="00A56792"/>
    <w:rsid w:val="00A67061"/>
    <w:rsid w:val="00A808CC"/>
    <w:rsid w:val="00A8117F"/>
    <w:rsid w:val="00A8466C"/>
    <w:rsid w:val="00A95646"/>
    <w:rsid w:val="00AA1D8C"/>
    <w:rsid w:val="00AA4803"/>
    <w:rsid w:val="00AB178E"/>
    <w:rsid w:val="00AC24AC"/>
    <w:rsid w:val="00AD1795"/>
    <w:rsid w:val="00AD6EDE"/>
    <w:rsid w:val="00AE233D"/>
    <w:rsid w:val="00AE60CB"/>
    <w:rsid w:val="00B0186B"/>
    <w:rsid w:val="00B05C09"/>
    <w:rsid w:val="00B21E68"/>
    <w:rsid w:val="00B2477C"/>
    <w:rsid w:val="00B37244"/>
    <w:rsid w:val="00B53215"/>
    <w:rsid w:val="00B5488B"/>
    <w:rsid w:val="00B576D9"/>
    <w:rsid w:val="00B60049"/>
    <w:rsid w:val="00B613F1"/>
    <w:rsid w:val="00B72BE0"/>
    <w:rsid w:val="00B7465A"/>
    <w:rsid w:val="00B76A02"/>
    <w:rsid w:val="00B800A9"/>
    <w:rsid w:val="00B81722"/>
    <w:rsid w:val="00B879A5"/>
    <w:rsid w:val="00B918BF"/>
    <w:rsid w:val="00B92652"/>
    <w:rsid w:val="00B946E9"/>
    <w:rsid w:val="00B96F5D"/>
    <w:rsid w:val="00BA5AD6"/>
    <w:rsid w:val="00BB2642"/>
    <w:rsid w:val="00BB619D"/>
    <w:rsid w:val="00BC08D8"/>
    <w:rsid w:val="00BC2044"/>
    <w:rsid w:val="00BD3FC9"/>
    <w:rsid w:val="00BF060B"/>
    <w:rsid w:val="00BF1C0B"/>
    <w:rsid w:val="00C00AF9"/>
    <w:rsid w:val="00C01BB0"/>
    <w:rsid w:val="00C03628"/>
    <w:rsid w:val="00C04139"/>
    <w:rsid w:val="00C056ED"/>
    <w:rsid w:val="00C27C39"/>
    <w:rsid w:val="00C447FA"/>
    <w:rsid w:val="00C5054C"/>
    <w:rsid w:val="00C55C50"/>
    <w:rsid w:val="00C625F9"/>
    <w:rsid w:val="00C62715"/>
    <w:rsid w:val="00C70EDE"/>
    <w:rsid w:val="00C73257"/>
    <w:rsid w:val="00C768B3"/>
    <w:rsid w:val="00C81FFD"/>
    <w:rsid w:val="00C90DE5"/>
    <w:rsid w:val="00CA6133"/>
    <w:rsid w:val="00CA65E0"/>
    <w:rsid w:val="00CB5608"/>
    <w:rsid w:val="00CC0BEE"/>
    <w:rsid w:val="00CC2EC4"/>
    <w:rsid w:val="00CC7E91"/>
    <w:rsid w:val="00CE2186"/>
    <w:rsid w:val="00CE2737"/>
    <w:rsid w:val="00CF1C55"/>
    <w:rsid w:val="00CF24C3"/>
    <w:rsid w:val="00CF3186"/>
    <w:rsid w:val="00CF4CFD"/>
    <w:rsid w:val="00CF533D"/>
    <w:rsid w:val="00D029F9"/>
    <w:rsid w:val="00D21652"/>
    <w:rsid w:val="00D263A2"/>
    <w:rsid w:val="00D263E3"/>
    <w:rsid w:val="00D3553E"/>
    <w:rsid w:val="00D46081"/>
    <w:rsid w:val="00D521E6"/>
    <w:rsid w:val="00D57E1A"/>
    <w:rsid w:val="00D77548"/>
    <w:rsid w:val="00D81E30"/>
    <w:rsid w:val="00D836D4"/>
    <w:rsid w:val="00D84400"/>
    <w:rsid w:val="00D87491"/>
    <w:rsid w:val="00D9234A"/>
    <w:rsid w:val="00D93E72"/>
    <w:rsid w:val="00D949BB"/>
    <w:rsid w:val="00D9716A"/>
    <w:rsid w:val="00DA3A54"/>
    <w:rsid w:val="00DA7185"/>
    <w:rsid w:val="00DB1E1D"/>
    <w:rsid w:val="00DB6B03"/>
    <w:rsid w:val="00DC0C1C"/>
    <w:rsid w:val="00DC1585"/>
    <w:rsid w:val="00DC334C"/>
    <w:rsid w:val="00DC3CBB"/>
    <w:rsid w:val="00DD112D"/>
    <w:rsid w:val="00DE302E"/>
    <w:rsid w:val="00DF2D06"/>
    <w:rsid w:val="00DF7669"/>
    <w:rsid w:val="00E10EBB"/>
    <w:rsid w:val="00E27550"/>
    <w:rsid w:val="00E32B14"/>
    <w:rsid w:val="00E34C66"/>
    <w:rsid w:val="00E40149"/>
    <w:rsid w:val="00E479EC"/>
    <w:rsid w:val="00E47D0A"/>
    <w:rsid w:val="00E55F0E"/>
    <w:rsid w:val="00E60775"/>
    <w:rsid w:val="00E63836"/>
    <w:rsid w:val="00E650B1"/>
    <w:rsid w:val="00E83194"/>
    <w:rsid w:val="00E90D93"/>
    <w:rsid w:val="00E91917"/>
    <w:rsid w:val="00E945CA"/>
    <w:rsid w:val="00EB5643"/>
    <w:rsid w:val="00EC259D"/>
    <w:rsid w:val="00EC3B25"/>
    <w:rsid w:val="00ED1177"/>
    <w:rsid w:val="00ED122F"/>
    <w:rsid w:val="00ED1C22"/>
    <w:rsid w:val="00EE0A27"/>
    <w:rsid w:val="00EF1A46"/>
    <w:rsid w:val="00F11264"/>
    <w:rsid w:val="00F11D84"/>
    <w:rsid w:val="00F15642"/>
    <w:rsid w:val="00F2106C"/>
    <w:rsid w:val="00F27FBF"/>
    <w:rsid w:val="00F30501"/>
    <w:rsid w:val="00F36E92"/>
    <w:rsid w:val="00F4569F"/>
    <w:rsid w:val="00F5693F"/>
    <w:rsid w:val="00F7216C"/>
    <w:rsid w:val="00F72692"/>
    <w:rsid w:val="00F74A14"/>
    <w:rsid w:val="00FA08B8"/>
    <w:rsid w:val="00FA1338"/>
    <w:rsid w:val="00FA2E96"/>
    <w:rsid w:val="00FA348A"/>
    <w:rsid w:val="00FB1B14"/>
    <w:rsid w:val="00FC7108"/>
    <w:rsid w:val="00FD4B5D"/>
    <w:rsid w:val="00FE63DE"/>
    <w:rsid w:val="00FE6D43"/>
    <w:rsid w:val="00FF1089"/>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70793D"/>
  <w15:docId w15:val="{35108355-0786-4856-B803-09F63F17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E55F0E"/>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105852"/>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420C54"/>
    <w:pPr>
      <w:spacing w:before="0" w:after="440"/>
      <w:ind w:left="-1134" w:right="-1134"/>
    </w:pPr>
    <w:rPr>
      <w:sz w:val="2"/>
    </w:rPr>
  </w:style>
  <w:style w:type="character" w:customStyle="1" w:styleId="TechnicalBlockChar">
    <w:name w:val="Technical Block Char"/>
    <w:basedOn w:val="DefaultParagraphFont"/>
    <w:link w:val="TechnicalBlock"/>
    <w:rsid w:val="00420C5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420C54"/>
    <w:rPr>
      <w:rFonts w:ascii="Times New Roman" w:hAnsi="Times New Roman" w:cs="Times New Roman"/>
      <w:sz w:val="2"/>
      <w:lang w:val="en-GB"/>
    </w:rPr>
  </w:style>
  <w:style w:type="paragraph" w:customStyle="1" w:styleId="FooterText">
    <w:name w:val="Footer Text"/>
    <w:basedOn w:val="Normal"/>
    <w:rsid w:val="00420C54"/>
    <w:pPr>
      <w:spacing w:before="0" w:after="0" w:line="240" w:lineRule="auto"/>
    </w:pPr>
    <w:rPr>
      <w:rFonts w:eastAsia="Times New Roman"/>
      <w:szCs w:val="24"/>
    </w:rPr>
  </w:style>
  <w:style w:type="character" w:styleId="PlaceholderText">
    <w:name w:val="Placeholder Text"/>
    <w:basedOn w:val="DefaultParagraphFont"/>
    <w:uiPriority w:val="99"/>
    <w:semiHidden/>
    <w:rsid w:val="00420C54"/>
    <w:rPr>
      <w:color w:val="808080"/>
    </w:rPr>
  </w:style>
  <w:style w:type="character" w:styleId="Hyperlink">
    <w:name w:val="Hyperlink"/>
    <w:rsid w:val="00D93E72"/>
    <w:rPr>
      <w:color w:val="0000FF"/>
      <w:u w:val="single"/>
      <w:shd w:val="clear" w:color="auto" w:fill="auto"/>
    </w:rPr>
  </w:style>
  <w:style w:type="paragraph" w:customStyle="1" w:styleId="Tiret2">
    <w:name w:val="Tiret 2"/>
    <w:basedOn w:val="Normal"/>
    <w:rsid w:val="00D93E72"/>
    <w:pPr>
      <w:numPr>
        <w:numId w:val="21"/>
      </w:numPr>
      <w:spacing w:line="240" w:lineRule="auto"/>
      <w:jc w:val="both"/>
    </w:pPr>
  </w:style>
  <w:style w:type="paragraph" w:customStyle="1" w:styleId="Tiret4">
    <w:name w:val="Tiret 4"/>
    <w:basedOn w:val="Normal"/>
    <w:rsid w:val="00D93E72"/>
    <w:pPr>
      <w:numPr>
        <w:numId w:val="23"/>
      </w:numPr>
      <w:spacing w:line="240" w:lineRule="auto"/>
      <w:jc w:val="both"/>
    </w:pPr>
  </w:style>
  <w:style w:type="paragraph" w:customStyle="1" w:styleId="Point0number">
    <w:name w:val="Point 0 (number)"/>
    <w:basedOn w:val="Normal"/>
    <w:rsid w:val="00D93E72"/>
    <w:pPr>
      <w:numPr>
        <w:numId w:val="22"/>
      </w:numPr>
      <w:spacing w:line="240" w:lineRule="auto"/>
      <w:jc w:val="both"/>
    </w:pPr>
  </w:style>
  <w:style w:type="paragraph" w:customStyle="1" w:styleId="Point1number">
    <w:name w:val="Point 1 (number)"/>
    <w:basedOn w:val="Normal"/>
    <w:rsid w:val="00D93E72"/>
    <w:pPr>
      <w:numPr>
        <w:ilvl w:val="2"/>
        <w:numId w:val="22"/>
      </w:numPr>
      <w:spacing w:line="240" w:lineRule="auto"/>
      <w:jc w:val="both"/>
    </w:pPr>
  </w:style>
  <w:style w:type="paragraph" w:customStyle="1" w:styleId="Point2number">
    <w:name w:val="Point 2 (number)"/>
    <w:basedOn w:val="Normal"/>
    <w:rsid w:val="00D93E72"/>
    <w:pPr>
      <w:numPr>
        <w:ilvl w:val="4"/>
        <w:numId w:val="22"/>
      </w:numPr>
      <w:spacing w:line="240" w:lineRule="auto"/>
      <w:jc w:val="both"/>
    </w:pPr>
  </w:style>
  <w:style w:type="paragraph" w:customStyle="1" w:styleId="Point3number">
    <w:name w:val="Point 3 (number)"/>
    <w:basedOn w:val="Normal"/>
    <w:rsid w:val="00D93E72"/>
    <w:pPr>
      <w:numPr>
        <w:ilvl w:val="6"/>
        <w:numId w:val="22"/>
      </w:numPr>
      <w:spacing w:line="240" w:lineRule="auto"/>
      <w:jc w:val="both"/>
    </w:pPr>
  </w:style>
  <w:style w:type="paragraph" w:customStyle="1" w:styleId="Point0letter">
    <w:name w:val="Point 0 (letter)"/>
    <w:basedOn w:val="Normal"/>
    <w:rsid w:val="00D93E72"/>
    <w:pPr>
      <w:numPr>
        <w:ilvl w:val="1"/>
        <w:numId w:val="22"/>
      </w:numPr>
      <w:spacing w:line="240" w:lineRule="auto"/>
      <w:jc w:val="both"/>
    </w:pPr>
  </w:style>
  <w:style w:type="paragraph" w:customStyle="1" w:styleId="Point1letter">
    <w:name w:val="Point 1 (letter)"/>
    <w:basedOn w:val="Normal"/>
    <w:rsid w:val="00D93E72"/>
    <w:pPr>
      <w:numPr>
        <w:ilvl w:val="3"/>
        <w:numId w:val="22"/>
      </w:numPr>
      <w:spacing w:line="240" w:lineRule="auto"/>
      <w:jc w:val="both"/>
    </w:pPr>
  </w:style>
  <w:style w:type="paragraph" w:customStyle="1" w:styleId="Point2letter">
    <w:name w:val="Point 2 (letter)"/>
    <w:basedOn w:val="Normal"/>
    <w:rsid w:val="00D93E72"/>
    <w:pPr>
      <w:numPr>
        <w:ilvl w:val="5"/>
        <w:numId w:val="22"/>
      </w:numPr>
      <w:spacing w:line="240" w:lineRule="auto"/>
      <w:jc w:val="both"/>
    </w:pPr>
  </w:style>
  <w:style w:type="paragraph" w:customStyle="1" w:styleId="Point3letter">
    <w:name w:val="Point 3 (letter)"/>
    <w:basedOn w:val="Normal"/>
    <w:rsid w:val="00D93E72"/>
    <w:pPr>
      <w:numPr>
        <w:ilvl w:val="7"/>
        <w:numId w:val="22"/>
      </w:numPr>
      <w:spacing w:line="240" w:lineRule="auto"/>
      <w:jc w:val="both"/>
    </w:pPr>
  </w:style>
  <w:style w:type="paragraph" w:customStyle="1" w:styleId="Point4letter">
    <w:name w:val="Point 4 (letter)"/>
    <w:basedOn w:val="Normal"/>
    <w:rsid w:val="00D93E72"/>
    <w:pPr>
      <w:numPr>
        <w:ilvl w:val="8"/>
        <w:numId w:val="22"/>
      </w:numPr>
      <w:spacing w:line="240" w:lineRule="auto"/>
      <w:jc w:val="both"/>
    </w:pPr>
  </w:style>
  <w:style w:type="paragraph" w:styleId="Revision">
    <w:name w:val="Revision"/>
    <w:hidden/>
    <w:uiPriority w:val="99"/>
    <w:semiHidden/>
    <w:rsid w:val="00FF48F5"/>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sid w:val="00FF48F5"/>
    <w:rPr>
      <w:sz w:val="16"/>
      <w:szCs w:val="16"/>
    </w:rPr>
  </w:style>
  <w:style w:type="paragraph" w:styleId="CommentText">
    <w:name w:val="annotation text"/>
    <w:basedOn w:val="Normal"/>
    <w:link w:val="CommentTextChar"/>
    <w:uiPriority w:val="99"/>
    <w:unhideWhenUsed/>
    <w:rsid w:val="00FF48F5"/>
    <w:pPr>
      <w:spacing w:line="240" w:lineRule="auto"/>
    </w:pPr>
    <w:rPr>
      <w:sz w:val="20"/>
      <w:szCs w:val="20"/>
    </w:rPr>
  </w:style>
  <w:style w:type="character" w:customStyle="1" w:styleId="CommentTextChar">
    <w:name w:val="Comment Text Char"/>
    <w:basedOn w:val="DefaultParagraphFont"/>
    <w:link w:val="CommentText"/>
    <w:uiPriority w:val="99"/>
    <w:rsid w:val="00FF48F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F48F5"/>
    <w:rPr>
      <w:b/>
      <w:bCs/>
    </w:rPr>
  </w:style>
  <w:style w:type="character" w:customStyle="1" w:styleId="CommentSubjectChar">
    <w:name w:val="Comment Subject Char"/>
    <w:basedOn w:val="CommentTextChar"/>
    <w:link w:val="CommentSubject"/>
    <w:uiPriority w:val="99"/>
    <w:semiHidden/>
    <w:rsid w:val="00FF48F5"/>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dir/1994/45/oj" TargetMode="External"/><Relationship Id="rId2" Type="http://schemas.openxmlformats.org/officeDocument/2006/relationships/hyperlink" Target="https://eur-lex.europa.eu/legal-content/EN/TXT/?uri=COM:2018:292:FIN" TargetMode="External"/><Relationship Id="rId1" Type="http://schemas.openxmlformats.org/officeDocument/2006/relationships/hyperlink" Target="http://data.europa.eu/eli/dir/2009/38/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B33E-B825-4BC9-B477-232633C4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9</TotalTime>
  <Pages>33</Pages>
  <Words>7228</Words>
  <Characters>40551</Characters>
  <Application>Microsoft Office Word</Application>
  <DocSecurity>0</DocSecurity>
  <Lines>675</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 Audrey</dc:creator>
  <cp:keywords/>
  <dc:description/>
  <cp:lastModifiedBy>DESMET Audrey</cp:lastModifiedBy>
  <cp:revision>6</cp:revision>
  <cp:lastPrinted>2024-04-22T10:42:00Z</cp:lastPrinted>
  <dcterms:created xsi:type="dcterms:W3CDTF">2024-04-23T18:53:00Z</dcterms:created>
  <dcterms:modified xsi:type="dcterms:W3CDTF">2024-04-24T06:47:00Z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4.9.1, Build 20240216</vt:lpwstr>
  </property>
  <property fmtid="{D5CDD505-2E9C-101B-9397-08002B2CF9AE}" pid="3" name="Created using">
    <vt:lpwstr>DocuWrite 4.8.5, Build 20230921</vt:lpwstr>
  </property>
  <property fmtid="{D5CDD505-2E9C-101B-9397-08002B2CF9AE}" pid="4" name="MSIP_Label_b1df41d6-74a9-4a97-809c-213cd32520cc_Enabled">
    <vt:lpwstr>true</vt:lpwstr>
  </property>
  <property fmtid="{D5CDD505-2E9C-101B-9397-08002B2CF9AE}" pid="5" name="MSIP_Label_b1df41d6-74a9-4a97-809c-213cd32520cc_SetDate">
    <vt:lpwstr>2024-03-26T14:05:05Z</vt:lpwstr>
  </property>
  <property fmtid="{D5CDD505-2E9C-101B-9397-08002B2CF9AE}" pid="6" name="MSIP_Label_b1df41d6-74a9-4a97-809c-213cd32520cc_Method">
    <vt:lpwstr>Privileged</vt:lpwstr>
  </property>
  <property fmtid="{D5CDD505-2E9C-101B-9397-08002B2CF9AE}" pid="7" name="MSIP_Label_b1df41d6-74a9-4a97-809c-213cd32520cc_Name">
    <vt:lpwstr>GSCEU - NON PUBLIC Label</vt:lpwstr>
  </property>
  <property fmtid="{D5CDD505-2E9C-101B-9397-08002B2CF9AE}" pid="8" name="MSIP_Label_b1df41d6-74a9-4a97-809c-213cd32520cc_SiteId">
    <vt:lpwstr>03ad1c97-0a4d-4e82-8f93-27291a6a0767</vt:lpwstr>
  </property>
  <property fmtid="{D5CDD505-2E9C-101B-9397-08002B2CF9AE}" pid="9" name="MSIP_Label_b1df41d6-74a9-4a97-809c-213cd32520cc_ActionId">
    <vt:lpwstr>21522efa-9711-4c72-bca2-16d4f765f04f</vt:lpwstr>
  </property>
  <property fmtid="{D5CDD505-2E9C-101B-9397-08002B2CF9AE}" pid="10" name="MSIP_Label_b1df41d6-74a9-4a97-809c-213cd32520cc_ContentBits">
    <vt:lpwstr>0</vt:lpwstr>
  </property>
  <property fmtid="{D5CDD505-2E9C-101B-9397-08002B2CF9AE}" pid="11" name="MSIP_Label_dddc1db8-2f64-468c-a02a-c7d04ea19826_Enabled">
    <vt:lpwstr>true</vt:lpwstr>
  </property>
  <property fmtid="{D5CDD505-2E9C-101B-9397-08002B2CF9AE}" pid="12" name="MSIP_Label_dddc1db8-2f64-468c-a02a-c7d04ea19826_SetDate">
    <vt:lpwstr>2024-04-20T08:15:47Z</vt:lpwstr>
  </property>
  <property fmtid="{D5CDD505-2E9C-101B-9397-08002B2CF9AE}" pid="13" name="MSIP_Label_dddc1db8-2f64-468c-a02a-c7d04ea19826_Method">
    <vt:lpwstr>Privileged</vt:lpwstr>
  </property>
  <property fmtid="{D5CDD505-2E9C-101B-9397-08002B2CF9AE}" pid="14" name="MSIP_Label_dddc1db8-2f64-468c-a02a-c7d04ea19826_Name">
    <vt:lpwstr>Non classifié - Niet geclassificeerd</vt:lpwstr>
  </property>
  <property fmtid="{D5CDD505-2E9C-101B-9397-08002B2CF9AE}" pid="15" name="MSIP_Label_dddc1db8-2f64-468c-a02a-c7d04ea19826_SiteId">
    <vt:lpwstr>80153b30-e434-429b-b41c-0d47f9deec42</vt:lpwstr>
  </property>
  <property fmtid="{D5CDD505-2E9C-101B-9397-08002B2CF9AE}" pid="16" name="MSIP_Label_dddc1db8-2f64-468c-a02a-c7d04ea19826_ActionId">
    <vt:lpwstr>eec752c3-4281-42ca-af63-4f1fa99f8cdd</vt:lpwstr>
  </property>
  <property fmtid="{D5CDD505-2E9C-101B-9397-08002B2CF9AE}" pid="17" name="MSIP_Label_dddc1db8-2f64-468c-a02a-c7d04ea19826_ContentBits">
    <vt:lpwstr>0</vt:lpwstr>
  </property>
  <property fmtid="{D5CDD505-2E9C-101B-9397-08002B2CF9AE}" pid="18" name="MSIP_Label_6bd9ddd1-4d20-43f6-abfa-fc3c07406f94_Enabled">
    <vt:lpwstr>true</vt:lpwstr>
  </property>
  <property fmtid="{D5CDD505-2E9C-101B-9397-08002B2CF9AE}" pid="19" name="MSIP_Label_6bd9ddd1-4d20-43f6-abfa-fc3c07406f94_SetDate">
    <vt:lpwstr>2024-04-22T09:29:01Z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c0101118-73ce-4ecd-9f5c-13c72822fbd3</vt:lpwstr>
  </property>
  <property fmtid="{D5CDD505-2E9C-101B-9397-08002B2CF9AE}" pid="24" name="MSIP_Label_6bd9ddd1-4d20-43f6-abfa-fc3c07406f94_ContentBits">
    <vt:lpwstr>0</vt:lpwstr>
  </property>
</Properties>
</file>